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FBE" w:rsidRDefault="00F16F71">
      <w:pPr>
        <w:pStyle w:val="Title"/>
      </w:pPr>
      <w:bookmarkStart w:id="0" w:name="_h6520n7bs6eg" w:colFirst="0" w:colLast="0"/>
      <w:bookmarkEnd w:id="0"/>
      <w:r>
        <w:t>The Health of a Nation</w:t>
      </w:r>
    </w:p>
    <w:p w:rsidR="00CF4FBE" w:rsidRDefault="00F16F71">
      <w:pPr>
        <w:pStyle w:val="Subtitle"/>
      </w:pPr>
      <w:bookmarkStart w:id="1" w:name="_wpkp671fl6o3" w:colFirst="0" w:colLast="0"/>
      <w:bookmarkEnd w:id="1"/>
      <w:r>
        <w:t>Developing a Composite Health Index for England</w:t>
      </w:r>
    </w:p>
    <w:p w:rsidR="00CF4FBE" w:rsidRDefault="00CF4FBE"/>
    <w:p w:rsidR="00CF4FBE" w:rsidRDefault="00F16F71">
      <w:pPr>
        <w:pStyle w:val="Heading2"/>
      </w:pPr>
      <w:bookmarkStart w:id="2" w:name="_oxlu8ero7vde" w:colFirst="0" w:colLast="0"/>
      <w:bookmarkEnd w:id="2"/>
      <w:r>
        <w:t>Background</w:t>
      </w:r>
    </w:p>
    <w:p w:rsidR="00CF4FBE" w:rsidRDefault="00F16F71">
      <w:r>
        <w:t xml:space="preserve">In 2018 the Chief Medical Officer called for the development of a Composite Health Index (CHI) to be developed in order to quantify health as a national asset and to track changes in health over time </w:t>
      </w:r>
      <w:hyperlink r:id="rId7">
        <w:r>
          <w:rPr>
            <w:color w:val="000000"/>
          </w:rPr>
          <w:t>(</w:t>
        </w:r>
        <w:r>
          <w:rPr>
            <w:color w:val="000000"/>
          </w:rPr>
          <w:t>Davies 2018)</w:t>
        </w:r>
      </w:hyperlink>
      <w:r>
        <w:t>.</w:t>
      </w:r>
    </w:p>
    <w:p w:rsidR="00CF4FBE" w:rsidRDefault="00CF4FBE"/>
    <w:p w:rsidR="00CF4FBE" w:rsidRDefault="00F16F71">
      <w:r>
        <w:t>Dahlgren &amp; Whitehead’s (</w:t>
      </w:r>
      <w:hyperlink r:id="rId8">
        <w:r>
          <w:t>1992)</w:t>
        </w:r>
      </w:hyperlink>
      <w:r>
        <w:t xml:space="preserve"> model suggests that health is determined by genetics, life stage, individual risk factors and behaviours, wider social determinants and the interaction betw</w:t>
      </w:r>
      <w:r>
        <w:t>een all of these. The variation in risk factors and social determinants is closely linked to deprivation, with the least deprived people having a life expectancy almost 10 years longer than the most deprived, and can expect almost 20 years more without liv</w:t>
      </w:r>
      <w:r>
        <w:t xml:space="preserve">ing with a disability </w:t>
      </w:r>
      <w:hyperlink r:id="rId9">
        <w:r>
          <w:rPr>
            <w:color w:val="000000"/>
          </w:rPr>
          <w:t>(Marmot and Bell 2012)</w:t>
        </w:r>
      </w:hyperlink>
      <w:r>
        <w:t>. Social determinants of health are mutable with changes in policy within local and central government, growth of GDP, and changes in the distribution of wea</w:t>
      </w:r>
      <w:r>
        <w:t xml:space="preserve">lth. Risk factors can be modified through policy and societal change. Health outcomes are a product of social determinants of health and individual risk factors’ interaction with health services, and so health service performance is included. </w:t>
      </w:r>
    </w:p>
    <w:p w:rsidR="00CF4FBE" w:rsidRDefault="00CF4FBE"/>
    <w:p w:rsidR="00CF4FBE" w:rsidRDefault="00F16F71">
      <w:r>
        <w:t>Tackling he</w:t>
      </w:r>
      <w:r>
        <w:t>alth inequalities requires understanding social determinants of health, risk behaviours, and health outcomes, and tracking change over time across the whole population.</w:t>
      </w:r>
    </w:p>
    <w:p w:rsidR="00CF4FBE" w:rsidRDefault="00CF4FBE"/>
    <w:p w:rsidR="00CF4FBE" w:rsidRDefault="00F16F71">
      <w:pPr>
        <w:pStyle w:val="Heading2"/>
      </w:pPr>
      <w:bookmarkStart w:id="3" w:name="_jj3nb1h3fgfs" w:colFirst="0" w:colLast="0"/>
      <w:bookmarkEnd w:id="3"/>
      <w:r>
        <w:t>Aims</w:t>
      </w:r>
    </w:p>
    <w:p w:rsidR="00CF4FBE" w:rsidRDefault="00F16F71">
      <w:r>
        <w:t>This CHI will form a baseline measure of health from 2018 comprising of three com</w:t>
      </w:r>
      <w:r>
        <w:t>ponent parts:</w:t>
      </w:r>
    </w:p>
    <w:p w:rsidR="00CF4FBE" w:rsidRDefault="00F16F71">
      <w:pPr>
        <w:numPr>
          <w:ilvl w:val="0"/>
          <w:numId w:val="1"/>
        </w:numPr>
      </w:pPr>
      <w:r>
        <w:t>Social determinants of health</w:t>
      </w:r>
    </w:p>
    <w:p w:rsidR="00CF4FBE" w:rsidRDefault="00F16F71">
      <w:pPr>
        <w:numPr>
          <w:ilvl w:val="0"/>
          <w:numId w:val="1"/>
        </w:numPr>
      </w:pPr>
      <w:r>
        <w:t>Individual risk factors and behaviours</w:t>
      </w:r>
    </w:p>
    <w:p w:rsidR="00CF4FBE" w:rsidRDefault="00F16F71">
      <w:pPr>
        <w:numPr>
          <w:ilvl w:val="0"/>
          <w:numId w:val="1"/>
        </w:numPr>
      </w:pPr>
      <w:r>
        <w:t>Health outcomes</w:t>
      </w:r>
    </w:p>
    <w:p w:rsidR="00CF4FBE" w:rsidRDefault="00CF4FBE"/>
    <w:p w:rsidR="00CF4FBE" w:rsidRDefault="00F16F71">
      <w:r>
        <w:t xml:space="preserve">The CHI will be presented by geographical area as to allow policy-makers to better understand the needs of their local populations and target interventions </w:t>
      </w:r>
      <w:r>
        <w:t xml:space="preserve">effectively. </w:t>
      </w:r>
    </w:p>
    <w:p w:rsidR="00CF4FBE" w:rsidRDefault="00CF4FBE"/>
    <w:p w:rsidR="00CF4FBE" w:rsidRDefault="00F16F71">
      <w:pPr>
        <w:pStyle w:val="Heading2"/>
      </w:pPr>
      <w:bookmarkStart w:id="4" w:name="_95p13o4hdre" w:colFirst="0" w:colLast="0"/>
      <w:bookmarkEnd w:id="4"/>
      <w:r>
        <w:t>Data Items</w:t>
      </w:r>
    </w:p>
    <w:p w:rsidR="00CF4FBE" w:rsidRDefault="00F16F71">
      <w:r>
        <w:t xml:space="preserve">The CHI is based on academic theory as to the core components of health across the life course. Data items were selected to fulfill the definitions of social determinants, risk factors, and health outcomes defined in </w:t>
      </w:r>
      <w:r w:rsidR="00312139">
        <w:rPr>
          <w:lang w:val="en-GB"/>
        </w:rPr>
        <w:t>Marmot and Bell</w:t>
      </w:r>
      <w:r>
        <w:t xml:space="preserve"> (2012) (Table 1).</w:t>
      </w:r>
    </w:p>
    <w:p w:rsidR="00CF4FBE" w:rsidRDefault="00CF4FBE"/>
    <w:p w:rsidR="00CF4FBE" w:rsidRDefault="00CF4FBE"/>
    <w:p w:rsidR="00CF4FBE" w:rsidRDefault="00F16F71">
      <w:pPr>
        <w:rPr>
          <w:rFonts w:ascii="Times New Roman" w:eastAsia="Times New Roman" w:hAnsi="Times New Roman" w:cs="Times New Roman"/>
        </w:rPr>
      </w:pPr>
      <w:r>
        <w:rPr>
          <w:rFonts w:ascii="Times New Roman" w:eastAsia="Times New Roman" w:hAnsi="Times New Roman" w:cs="Times New Roman"/>
        </w:rPr>
        <w:t>Table 1: Component parts of the determinants of health</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Early years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Alcohol </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Education </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Smoking</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healthy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Work</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Obesity</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Economic costs</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Income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Drug Use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CF4FBE">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Communities</w:t>
            </w: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bl>
    <w:p w:rsidR="00CF4FBE" w:rsidRDefault="00CF4FBE"/>
    <w:p w:rsidR="00CF4FBE" w:rsidRDefault="00CF4FBE"/>
    <w:p w:rsidR="00CF4FBE" w:rsidRDefault="00F16F71">
      <w:r>
        <w:t>Data items were selected from publicly available indicators that will be reproduced over time to satisfy the components. This will allow benchmarking to current levels. A search was carried out using the terms in Table 1 on Public Health England’s (PHE) Fi</w:t>
      </w:r>
      <w:r>
        <w:t>ngertips platform and indicators were selected from a variety of profiles to provide coverage (Appendix 1). Some indicators are replicated in more than one component as they are important to more than one component. For example, infant mortality is importa</w:t>
      </w:r>
      <w:r>
        <w:t xml:space="preserve">nt to both early years and loss of years of life and so it is included in both social determinants and health outcomes components. </w:t>
      </w:r>
    </w:p>
    <w:p w:rsidR="00CF4FBE" w:rsidRDefault="00CF4FBE"/>
    <w:p w:rsidR="00CF4FBE" w:rsidRDefault="00F16F71">
      <w:r>
        <w:t>Added to the social determinants component were data from the Indices of Multiple Deprivation (IMD) subdomains. These subdomains are designed to quantify different forms of deprivation that impact people’s lives in various ways. The subdomains are included</w:t>
      </w:r>
      <w:r>
        <w:t xml:space="preserve"> as there is large geographic variation in performance across the subdomains that warrants extra granularity provided by the subdomain scores </w:t>
      </w:r>
      <w:hyperlink r:id="rId10">
        <w:r>
          <w:rPr>
            <w:color w:val="000000"/>
          </w:rPr>
          <w:t>(Senior, 2019)</w:t>
        </w:r>
      </w:hyperlink>
      <w:r>
        <w:t>. For example, Wokingham has the lowest depri</w:t>
      </w:r>
      <w:r>
        <w:t>vation in the ‘income’ subdomain, but has high ‘geographical barriers’ deprivation.</w:t>
      </w:r>
    </w:p>
    <w:p w:rsidR="00CF4FBE" w:rsidRDefault="00CF4FBE"/>
    <w:p w:rsidR="00CF4FBE" w:rsidRDefault="00F16F71">
      <w:r>
        <w:t>Most recent data were used, however this was not consistent as to when it was produced as different indicators have differing reproduction schedules and timeframes. This c</w:t>
      </w:r>
      <w:r>
        <w:t>ould introduce some confounds into the analysis as we are not always comparing performance within the same temporal period. The alternative was to limit our analysis to indicators that are produced over the same period, however this would have led to omitt</w:t>
      </w:r>
      <w:r>
        <w:t>ing potentially valuable information. For example, suicide rate is an important health outcome measure that has to produced over a three year period to not be disclosive.</w:t>
      </w:r>
    </w:p>
    <w:p w:rsidR="00CF4FBE" w:rsidRDefault="00CF4FBE"/>
    <w:p w:rsidR="00CF4FBE" w:rsidRDefault="00F16F71">
      <w:pPr>
        <w:pStyle w:val="Heading2"/>
      </w:pPr>
      <w:bookmarkStart w:id="5" w:name="_g7xew1sg2cr7" w:colFirst="0" w:colLast="0"/>
      <w:bookmarkEnd w:id="5"/>
      <w:r>
        <w:t>Methods</w:t>
      </w:r>
    </w:p>
    <w:p w:rsidR="00CF4FBE" w:rsidRDefault="00F16F71">
      <w:r>
        <w:t xml:space="preserve">Data items were retrieved using the FingertipsR package for PHE indicators, </w:t>
      </w:r>
      <w:r>
        <w:t>and using webscraping to retrieve IMD data. IMD data were segregated at Lower Super Output Area geographies; these were aggregated up to Upper Tier Local Authority (UTLA) using Office for National Statistics lookup tables. Population weighted subdomain tot</w:t>
      </w:r>
      <w:r>
        <w:t xml:space="preserve">als were used to calculate z-scores as a measure of geographical dispersion around the England mean. </w:t>
      </w:r>
    </w:p>
    <w:p w:rsidR="00CF4FBE" w:rsidRDefault="00CF4FBE"/>
    <w:p w:rsidR="00CF4FBE" w:rsidRDefault="00F16F71">
      <w:r>
        <w:lastRenderedPageBreak/>
        <w:t xml:space="preserve">Fingertips data were filtered to retrieve the most recent data points for each indicator, and also filtered to exclude any breakdowns by sex and limited </w:t>
      </w:r>
      <w:r>
        <w:t>to UTLAs. After this, UTLAs with over 50% missing data were excluded, which led to the removal of two areas; City of London and the Isles of Scilly. Indicators with more than 20% data missing were removed from the analysis as they are deemed to be incomple</w:t>
      </w:r>
      <w:r>
        <w:t xml:space="preserve">te. </w:t>
      </w:r>
    </w:p>
    <w:p w:rsidR="00CF4FBE" w:rsidRDefault="00CF4FBE"/>
    <w:p w:rsidR="00CF4FBE" w:rsidRDefault="00F16F71">
      <w:r>
        <w:t>Missing data from the remaining indicators were imputed using multiple imputation. Data are fit to 4 Bayesian generalized linear models over 30 iterations, and missing values predicted using these models, with the best fit being selected for imputati</w:t>
      </w:r>
      <w:r>
        <w:t xml:space="preserve">on </w:t>
      </w:r>
      <w:hyperlink r:id="rId11">
        <w:r>
          <w:rPr>
            <w:color w:val="000000"/>
          </w:rPr>
          <w:t>(Su et al. 2011)</w:t>
        </w:r>
      </w:hyperlink>
      <w:r>
        <w:t xml:space="preserve">. Heatmaps of the spread of the data before and after imputation are shown in Figure 1. </w:t>
      </w:r>
    </w:p>
    <w:p w:rsidR="00CF4FBE" w:rsidRDefault="00CF4FBE"/>
    <w:p w:rsidR="00CF4FBE" w:rsidRDefault="00F16F71">
      <w:r>
        <w:t>Normality of distribution within the indicators was assumed using the Central Limit Theorem.</w:t>
      </w:r>
      <w:r>
        <w:t xml:space="preserve"> Indicators were tested for covariance and indicators using a pairwise correlation matrix with those indicators with an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m:t>
        </m:r>
      </m:oMath>
      <w:r>
        <w:t xml:space="preserve"> selected for removal, with the most globally correlated indicator being removed (Table 2).</w:t>
      </w:r>
    </w:p>
    <w:p w:rsidR="00CF4FBE" w:rsidRDefault="00CF4FBE"/>
    <w:p w:rsidR="00CF4FBE" w:rsidRDefault="00F16F71">
      <w:r>
        <w:t>Z-scores were calculated for all ind</w:t>
      </w:r>
      <w:r>
        <w:t>icators, and mean z-scores and ranks calculated for components, polarity switched where necessary. These were then aggregated into the CHI giving equal weighting to each of the components. Summary statistics for each indicator were output as a baseline mea</w:t>
      </w:r>
      <w:r>
        <w:t xml:space="preserve">sure for future years (Appendix 4). </w:t>
      </w:r>
    </w:p>
    <w:p w:rsidR="00CF4FBE" w:rsidRDefault="00CF4FBE"/>
    <w:p w:rsidR="00CF4FBE" w:rsidRDefault="00CF4FBE"/>
    <w:p w:rsidR="00CF4FBE" w:rsidRDefault="00F16F71">
      <w:pPr>
        <w:rPr>
          <w:rFonts w:ascii="Times New Roman" w:eastAsia="Times New Roman" w:hAnsi="Times New Roman" w:cs="Times New Roman"/>
        </w:rPr>
      </w:pPr>
      <w:r>
        <w:rPr>
          <w:rFonts w:ascii="Times New Roman" w:eastAsia="Times New Roman" w:hAnsi="Times New Roman" w:cs="Times New Roman"/>
        </w:rPr>
        <w:t>a)</w:t>
      </w:r>
    </w:p>
    <w:p w:rsidR="00CF4FBE" w:rsidRDefault="00F16F71">
      <w:r>
        <w:rPr>
          <w:noProof/>
          <w:lang w:val="en-GB"/>
        </w:rPr>
        <w:drawing>
          <wp:inline distT="114300" distB="114300" distL="114300" distR="114300">
            <wp:extent cx="4037206" cy="25098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37206" cy="2509838"/>
                    </a:xfrm>
                    <a:prstGeom prst="rect">
                      <a:avLst/>
                    </a:prstGeom>
                    <a:ln/>
                  </pic:spPr>
                </pic:pic>
              </a:graphicData>
            </a:graphic>
          </wp:inline>
        </w:drawing>
      </w:r>
    </w:p>
    <w:p w:rsidR="00CF4FBE" w:rsidRDefault="00F16F71">
      <w:r>
        <w:t>b)</w:t>
      </w:r>
    </w:p>
    <w:p w:rsidR="00CF4FBE" w:rsidRDefault="00F16F71">
      <w:r>
        <w:rPr>
          <w:noProof/>
          <w:lang w:val="en-GB"/>
        </w:rPr>
        <w:lastRenderedPageBreak/>
        <w:drawing>
          <wp:inline distT="114300" distB="114300" distL="114300" distR="114300">
            <wp:extent cx="3955948" cy="24526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55948" cy="2452688"/>
                    </a:xfrm>
                    <a:prstGeom prst="rect">
                      <a:avLst/>
                    </a:prstGeom>
                    <a:ln/>
                  </pic:spPr>
                </pic:pic>
              </a:graphicData>
            </a:graphic>
          </wp:inline>
        </w:drawing>
      </w:r>
    </w:p>
    <w:p w:rsidR="00CF4FBE" w:rsidRDefault="00F16F71">
      <w:r>
        <w:t>c)</w:t>
      </w:r>
    </w:p>
    <w:p w:rsidR="00CF4FBE" w:rsidRDefault="00F16F71">
      <w:r>
        <w:rPr>
          <w:noProof/>
          <w:lang w:val="en-GB"/>
        </w:rPr>
        <w:drawing>
          <wp:inline distT="114300" distB="114300" distL="114300" distR="114300">
            <wp:extent cx="4006779" cy="24812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006779" cy="2481263"/>
                    </a:xfrm>
                    <a:prstGeom prst="rect">
                      <a:avLst/>
                    </a:prstGeom>
                    <a:ln/>
                  </pic:spPr>
                </pic:pic>
              </a:graphicData>
            </a:graphic>
          </wp:inline>
        </w:drawing>
      </w:r>
    </w:p>
    <w:p w:rsidR="00CF4FBE" w:rsidRDefault="00F16F71">
      <w:pPr>
        <w:rPr>
          <w:rFonts w:ascii="Times New Roman" w:eastAsia="Times New Roman" w:hAnsi="Times New Roman" w:cs="Times New Roman"/>
        </w:rPr>
      </w:pPr>
      <w:r>
        <w:rPr>
          <w:rFonts w:ascii="Times New Roman" w:eastAsia="Times New Roman" w:hAnsi="Times New Roman" w:cs="Times New Roman"/>
        </w:rPr>
        <w:t>Figure 1: Heatmaps showing spread of data, missing data and imputed data for a) Social Determinants b) Risk Factors, and c) Health Outcomes</w:t>
      </w: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F16F71">
      <w:pPr>
        <w:rPr>
          <w:rFonts w:ascii="Times New Roman" w:eastAsia="Times New Roman" w:hAnsi="Times New Roman" w:cs="Times New Roman"/>
        </w:rPr>
      </w:pPr>
      <w:r>
        <w:rPr>
          <w:rFonts w:ascii="Times New Roman" w:eastAsia="Times New Roman" w:hAnsi="Times New Roman" w:cs="Times New Roman"/>
        </w:rPr>
        <w:t>Table 2: Indicators from each component removed for covariance reasons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Smoking attributable mortality</w:t>
            </w:r>
          </w:p>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CHD: Recorded prevalence (all ages)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cardiovascular diseases considered preventable</w:t>
            </w:r>
          </w:p>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cancer</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cancer considered preventable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liver disease</w:t>
            </w:r>
          </w:p>
        </w:tc>
      </w:tr>
      <w:tr w:rsidR="00CF4FBE" w:rsidTr="00312139">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respiratory disease</w:t>
            </w:r>
          </w:p>
        </w:tc>
      </w:tr>
      <w:tr w:rsidR="00CF4FBE" w:rsidTr="00312139">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Hip fractures in people aged 65 and over</w:t>
            </w:r>
          </w:p>
        </w:tc>
      </w:tr>
      <w:tr w:rsidR="00CF4FBE" w:rsidTr="00312139">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Mortality rate from causes considered preventable</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F16F71">
      <w:pPr>
        <w:pStyle w:val="Heading2"/>
      </w:pPr>
      <w:bookmarkStart w:id="6" w:name="_i41gofoxifo9" w:colFirst="0" w:colLast="0"/>
      <w:bookmarkEnd w:id="6"/>
      <w:r>
        <w:t>Results</w:t>
      </w:r>
    </w:p>
    <w:p w:rsidR="00CF4FBE" w:rsidRDefault="00F16F71">
      <w:r>
        <w:t>A CHI based on publicly available, national, long-term data was created based on three components; social determinants of health, individual risk factors, and health outcomes (Appendix 3). The contribution of individual indicators to each component was cal</w:t>
      </w:r>
      <w:r>
        <w:t xml:space="preserve">culated, and each component was given equal weighing in the construction of the CHI. This index was mapped to UTLAs to give an overall view of the distribution of health across England (Figure 2). </w:t>
      </w:r>
    </w:p>
    <w:p w:rsidR="00CF4FBE" w:rsidRDefault="00CF4FBE"/>
    <w:p w:rsidR="00CF4FBE" w:rsidRDefault="00CF4FBE">
      <w:pPr>
        <w:rPr>
          <w:rFonts w:ascii="Times New Roman" w:eastAsia="Times New Roman" w:hAnsi="Times New Roman" w:cs="Times New Roman"/>
        </w:rPr>
      </w:pPr>
    </w:p>
    <w:p w:rsidR="00CF4FBE" w:rsidRDefault="00F16F71">
      <w:r>
        <w:rPr>
          <w:noProof/>
          <w:lang w:val="en-GB"/>
        </w:rPr>
        <w:drawing>
          <wp:inline distT="114300" distB="114300" distL="114300" distR="114300">
            <wp:extent cx="5734050" cy="3035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4050" cy="3035300"/>
                    </a:xfrm>
                    <a:prstGeom prst="rect">
                      <a:avLst/>
                    </a:prstGeom>
                    <a:ln/>
                  </pic:spPr>
                </pic:pic>
              </a:graphicData>
            </a:graphic>
          </wp:inline>
        </w:drawing>
      </w:r>
    </w:p>
    <w:p w:rsidR="00CF4FBE" w:rsidRDefault="00F16F71">
      <w:r>
        <w:rPr>
          <w:rFonts w:ascii="Times New Roman" w:eastAsia="Times New Roman" w:hAnsi="Times New Roman" w:cs="Times New Roman"/>
        </w:rPr>
        <w:t>Figure 2: The CHI total mapped to UTLAs in England. Lo</w:t>
      </w:r>
      <w:r>
        <w:rPr>
          <w:rFonts w:ascii="Times New Roman" w:eastAsia="Times New Roman" w:hAnsi="Times New Roman" w:cs="Times New Roman"/>
        </w:rPr>
        <w:t>wer Mean Z Scores indicator lower health in that geographical area.</w:t>
      </w:r>
    </w:p>
    <w:p w:rsidR="00CF4FBE" w:rsidRDefault="00CF4FBE"/>
    <w:p w:rsidR="00CF4FBE" w:rsidRDefault="00F16F71">
      <w:r>
        <w:t>A total of 79 Fingertips indicators and 16 IMD subdomains included after exclusions for missing data and collinearity (Appendix 2).  It is possible to disaggregate the CHI into each compo</w:t>
      </w:r>
      <w:r>
        <w:t>nent (Figure 3) and individual indicators. The plotted outputs are designed to highlight the areas with greatest need.</w:t>
      </w:r>
    </w:p>
    <w:p w:rsidR="00CF4FBE" w:rsidRDefault="00CF4FBE"/>
    <w:p w:rsidR="00312139" w:rsidRDefault="00312139"/>
    <w:p w:rsidR="00312139" w:rsidRDefault="00312139"/>
    <w:p w:rsidR="00312139" w:rsidRDefault="00312139"/>
    <w:p w:rsidR="00CF4FBE" w:rsidRDefault="00CF4FBE">
      <w:pPr>
        <w:rPr>
          <w:rFonts w:ascii="Times New Roman" w:eastAsia="Times New Roman" w:hAnsi="Times New Roman" w:cs="Times New Roman"/>
        </w:rPr>
      </w:pPr>
    </w:p>
    <w:p w:rsidR="00CF4FBE" w:rsidRDefault="00F16F71">
      <w:pPr>
        <w:rPr>
          <w:rFonts w:ascii="Times New Roman" w:eastAsia="Times New Roman" w:hAnsi="Times New Roman" w:cs="Times New Roman"/>
        </w:rPr>
      </w:pPr>
      <w:r>
        <w:rPr>
          <w:rFonts w:ascii="Times New Roman" w:eastAsia="Times New Roman" w:hAnsi="Times New Roman" w:cs="Times New Roman"/>
        </w:rPr>
        <w:lastRenderedPageBreak/>
        <w:t>a) Social Determinants</w:t>
      </w:r>
      <w:r>
        <w:rPr>
          <w:rFonts w:ascii="Times New Roman" w:eastAsia="Times New Roman" w:hAnsi="Times New Roman" w:cs="Times New Roman"/>
        </w:rPr>
        <w:tab/>
      </w:r>
      <w:r>
        <w:rPr>
          <w:rFonts w:ascii="Times New Roman" w:eastAsia="Times New Roman" w:hAnsi="Times New Roman" w:cs="Times New Roman"/>
        </w:rPr>
        <w:tab/>
        <w:t xml:space="preserve">  b) Risk Factors</w:t>
      </w:r>
      <w:r>
        <w:rPr>
          <w:rFonts w:ascii="Times New Roman" w:eastAsia="Times New Roman" w:hAnsi="Times New Roman" w:cs="Times New Roman"/>
        </w:rPr>
        <w:tab/>
      </w:r>
      <w:r>
        <w:rPr>
          <w:rFonts w:ascii="Times New Roman" w:eastAsia="Times New Roman" w:hAnsi="Times New Roman" w:cs="Times New Roman"/>
        </w:rPr>
        <w:tab/>
        <w:t xml:space="preserve">   c) Health Outcomes</w:t>
      </w:r>
    </w:p>
    <w:p w:rsidR="00CF4FBE" w:rsidRDefault="00F16F71">
      <w:r>
        <w:rPr>
          <w:noProof/>
          <w:lang w:val="en-GB"/>
        </w:rPr>
        <w:drawing>
          <wp:inline distT="114300" distB="114300" distL="114300" distR="114300">
            <wp:extent cx="1849565" cy="24336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31561" r="28571"/>
                    <a:stretch>
                      <a:fillRect/>
                    </a:stretch>
                  </pic:blipFill>
                  <pic:spPr>
                    <a:xfrm>
                      <a:off x="0" y="0"/>
                      <a:ext cx="1849565" cy="2433638"/>
                    </a:xfrm>
                    <a:prstGeom prst="rect">
                      <a:avLst/>
                    </a:prstGeom>
                    <a:ln/>
                  </pic:spPr>
                </pic:pic>
              </a:graphicData>
            </a:graphic>
          </wp:inline>
        </w:drawing>
      </w:r>
      <w:r>
        <w:rPr>
          <w:noProof/>
          <w:lang w:val="en-GB"/>
        </w:rPr>
        <w:drawing>
          <wp:inline distT="114300" distB="114300" distL="114300" distR="114300">
            <wp:extent cx="1843088" cy="241905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32059" r="28571"/>
                    <a:stretch>
                      <a:fillRect/>
                    </a:stretch>
                  </pic:blipFill>
                  <pic:spPr>
                    <a:xfrm>
                      <a:off x="0" y="0"/>
                      <a:ext cx="1843088" cy="2419052"/>
                    </a:xfrm>
                    <a:prstGeom prst="rect">
                      <a:avLst/>
                    </a:prstGeom>
                    <a:ln/>
                  </pic:spPr>
                </pic:pic>
              </a:graphicData>
            </a:graphic>
          </wp:inline>
        </w:drawing>
      </w:r>
      <w:r>
        <w:rPr>
          <w:noProof/>
          <w:lang w:val="en-GB"/>
        </w:rPr>
        <w:drawing>
          <wp:inline distT="114300" distB="114300" distL="114300" distR="114300">
            <wp:extent cx="1804988" cy="243865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31395" r="28737"/>
                    <a:stretch>
                      <a:fillRect/>
                    </a:stretch>
                  </pic:blipFill>
                  <pic:spPr>
                    <a:xfrm>
                      <a:off x="0" y="0"/>
                      <a:ext cx="1804988" cy="2438653"/>
                    </a:xfrm>
                    <a:prstGeom prst="rect">
                      <a:avLst/>
                    </a:prstGeom>
                    <a:ln/>
                  </pic:spPr>
                </pic:pic>
              </a:graphicData>
            </a:graphic>
          </wp:inline>
        </w:drawing>
      </w:r>
    </w:p>
    <w:p w:rsidR="00CF4FBE" w:rsidRDefault="00F16F71">
      <w:pPr>
        <w:rPr>
          <w:rFonts w:ascii="Times New Roman" w:eastAsia="Times New Roman" w:hAnsi="Times New Roman" w:cs="Times New Roman"/>
        </w:rPr>
      </w:pPr>
      <w:r>
        <w:rPr>
          <w:rFonts w:ascii="Times New Roman" w:eastAsia="Times New Roman" w:hAnsi="Times New Roman" w:cs="Times New Roman"/>
        </w:rPr>
        <w:t>Figure 3: Component parts of the CHI mapped to UTLAs in England. a) The social determinants component, b) the risk factors component and c) the health outcomes component. NB. The scale for these plots is the same as Figure 2.</w:t>
      </w:r>
    </w:p>
    <w:p w:rsidR="00CF4FBE" w:rsidRDefault="00CF4FBE">
      <w:pPr>
        <w:rPr>
          <w:rFonts w:ascii="Times New Roman" w:eastAsia="Times New Roman" w:hAnsi="Times New Roman" w:cs="Times New Roman"/>
        </w:rPr>
      </w:pPr>
    </w:p>
    <w:p w:rsidR="00CF4FBE" w:rsidRDefault="00F16F71">
      <w:r>
        <w:t>Rankings were also produced f</w:t>
      </w:r>
      <w:r>
        <w:t>or the CHI and its components, primarily as a tool to validate the index against other indices that use differing methodologies. Outputs of the top 5 ranked areas (most need) are shown in Table 3.</w:t>
      </w:r>
    </w:p>
    <w:p w:rsidR="00CF4FBE" w:rsidRDefault="00CF4FBE">
      <w:bookmarkStart w:id="7" w:name="_GoBack"/>
      <w:bookmarkEnd w:id="7"/>
    </w:p>
    <w:p w:rsidR="00CF4FBE" w:rsidRDefault="00CF4FBE"/>
    <w:p w:rsidR="00CF4FBE" w:rsidRDefault="00F16F71">
      <w:pPr>
        <w:rPr>
          <w:rFonts w:ascii="Times New Roman" w:eastAsia="Times New Roman" w:hAnsi="Times New Roman" w:cs="Times New Roman"/>
        </w:rPr>
      </w:pPr>
      <w:r>
        <w:rPr>
          <w:rFonts w:ascii="Times New Roman" w:eastAsia="Times New Roman" w:hAnsi="Times New Roman" w:cs="Times New Roman"/>
        </w:rPr>
        <w:t>Table 3: CHI and component scores (ranks) for the 5 areas</w:t>
      </w:r>
      <w:r>
        <w:rPr>
          <w:rFonts w:ascii="Times New Roman" w:eastAsia="Times New Roman" w:hAnsi="Times New Roman" w:cs="Times New Roman"/>
        </w:rPr>
        <w:t xml:space="preserve"> identified as having the greatest need. </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CF4FBE">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Area</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CHI</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 Component</w:t>
            </w:r>
          </w:p>
        </w:tc>
      </w:tr>
      <w:tr w:rsidR="00CF4FBE">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Blackpool</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-1.132 (1)</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-0.911 (2)</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-0.959 (3)</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-1.53 (1)</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Kingston upon Hull</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-1.079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-0.931 (1)</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-1.055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-1.241 (2)</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Knowsley</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-0.885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-0.871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-0.757 (6)</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-1.027 (5)</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Middlesbrough</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-0.873 (4)</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-0.749 (7)</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-0.764 (5)</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-1.107 (3)</w:t>
            </w:r>
          </w:p>
        </w:tc>
      </w:tr>
      <w:tr w:rsidR="00CF4FBE">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Hartlepool</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(5)</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-0.511 (12)</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-1.091 (1)</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F16F7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(8)</w:t>
            </w:r>
          </w:p>
        </w:tc>
      </w:tr>
    </w:tbl>
    <w:p w:rsidR="00CF4FBE" w:rsidRDefault="00CF4FBE"/>
    <w:p w:rsidR="00CF4FBE" w:rsidRDefault="00F16F71">
      <w:r>
        <w:t xml:space="preserve">A comparative analysis were undertaken to verify the validity of CHI. Health Adjusted Life Expectancy (HALE) estimates, produced as part of the Global Burden of Disease study </w:t>
      </w:r>
      <w:hyperlink r:id="rId19">
        <w:r>
          <w:rPr>
            <w:color w:val="000000"/>
          </w:rPr>
          <w:t>(for Health Metrics and Ev</w:t>
        </w:r>
        <w:r>
          <w:rPr>
            <w:color w:val="000000"/>
          </w:rPr>
          <w:t>aluation 2015)</w:t>
        </w:r>
      </w:hyperlink>
      <w:r>
        <w:t>, was selected as a comparator. Ranks were compared using a Spearman rank correlation test. There was a significant strong positive correlation between CHI and HALE (</w:t>
      </w:r>
      <m:oMath>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 xml:space="preserve">=0.89, </m:t>
        </m:r>
        <m:r>
          <w:rPr>
            <w:rFonts w:ascii="Cambria Math" w:hAnsi="Cambria Math"/>
          </w:rPr>
          <m:t>p</m:t>
        </m:r>
        <m:r>
          <w:rPr>
            <w:rFonts w:ascii="Cambria Math" w:hAnsi="Cambria Math"/>
          </w:rPr>
          <m:t>&lt;0.0001</m:t>
        </m:r>
      </m:oMath>
      <w:r>
        <w:t xml:space="preserve">). </w:t>
      </w:r>
    </w:p>
    <w:p w:rsidR="00CF4FBE" w:rsidRDefault="00CF4FBE"/>
    <w:p w:rsidR="00CF4FBE" w:rsidRDefault="00F16F71">
      <w:r>
        <w:t>To track change over time, the means and standard d</w:t>
      </w:r>
      <w:r>
        <w:t xml:space="preserve">eviations from this analysis are to be used in future z-score calculations to ensure the baseline stays stable. To this end, descriptive statistics were output for reference in future years (Appendix 4). </w:t>
      </w:r>
    </w:p>
    <w:p w:rsidR="00CF4FBE" w:rsidRDefault="00CF4FBE"/>
    <w:p w:rsidR="00CF4FBE" w:rsidRDefault="00F16F71">
      <w:pPr>
        <w:pStyle w:val="Heading2"/>
      </w:pPr>
      <w:bookmarkStart w:id="8" w:name="_r41ei6rp2i2j" w:colFirst="0" w:colLast="0"/>
      <w:bookmarkEnd w:id="8"/>
      <w:r>
        <w:lastRenderedPageBreak/>
        <w:t>Discussion</w:t>
      </w:r>
    </w:p>
    <w:p w:rsidR="00CF4FBE" w:rsidRDefault="00F16F71">
      <w:r>
        <w:t>A CHI was created to quantify, and trac</w:t>
      </w:r>
      <w:r>
        <w:t>k changes to, health across England. The outputs from this index appear to be in line with alternative measures of overall health, and also in line with previous literature on health inequalities. CHI shows a clear rural/urban divide that has been previous</w:t>
      </w:r>
      <w:r>
        <w:t xml:space="preserve">ly described </w:t>
      </w:r>
      <w:hyperlink r:id="rId20">
        <w:r>
          <w:rPr>
            <w:color w:val="000000"/>
          </w:rPr>
          <w:t>(Connolly, O’Reilly, and Rosato 2007; Doran, Drever, and Whitehead 2004)</w:t>
        </w:r>
      </w:hyperlink>
      <w:r>
        <w:t>. There is also a north/south divide viewable if a line is drawn from the Bristol channel to the Wash, as has b</w:t>
      </w:r>
      <w:r>
        <w:t xml:space="preserve">een previously described </w:t>
      </w:r>
      <w:hyperlink r:id="rId21">
        <w:r>
          <w:rPr>
            <w:color w:val="000000"/>
          </w:rPr>
          <w:t>(Kontopantelis et al. 2018)</w:t>
        </w:r>
      </w:hyperlink>
      <w:r>
        <w:t xml:space="preserve">. In addition to this, outputs from CHI may provide evidence for the ‘healthy London effect’, where London overperforms in health outcomes given the </w:t>
      </w:r>
      <w:r>
        <w:t xml:space="preserve">social determinants present (Figure 4) </w:t>
      </w:r>
      <w:hyperlink r:id="rId22">
        <w:r>
          <w:rPr>
            <w:color w:val="000000"/>
          </w:rPr>
          <w:t>(Minton and McCartney 2018)</w:t>
        </w:r>
      </w:hyperlink>
      <w:r>
        <w:t xml:space="preserve">. </w:t>
      </w:r>
    </w:p>
    <w:p w:rsidR="00CF4FBE" w:rsidRDefault="00CF4FBE"/>
    <w:p w:rsidR="00CF4FBE" w:rsidRDefault="00F16F71">
      <w:pPr>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b)</w:t>
      </w:r>
    </w:p>
    <w:p w:rsidR="00CF4FBE" w:rsidRDefault="00F16F71">
      <w:r>
        <w:rPr>
          <w:noProof/>
          <w:lang w:val="en-GB"/>
        </w:rPr>
        <w:drawing>
          <wp:inline distT="114300" distB="114300" distL="114300" distR="114300">
            <wp:extent cx="2786791" cy="24812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786791" cy="2481263"/>
                    </a:xfrm>
                    <a:prstGeom prst="rect">
                      <a:avLst/>
                    </a:prstGeom>
                    <a:ln/>
                  </pic:spPr>
                </pic:pic>
              </a:graphicData>
            </a:graphic>
          </wp:inline>
        </w:drawing>
      </w:r>
      <w:r>
        <w:rPr>
          <w:noProof/>
          <w:lang w:val="en-GB"/>
        </w:rPr>
        <w:drawing>
          <wp:inline distT="114300" distB="114300" distL="114300" distR="114300">
            <wp:extent cx="2738438" cy="249292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738438" cy="2492922"/>
                    </a:xfrm>
                    <a:prstGeom prst="rect">
                      <a:avLst/>
                    </a:prstGeom>
                    <a:ln/>
                  </pic:spPr>
                </pic:pic>
              </a:graphicData>
            </a:graphic>
          </wp:inline>
        </w:drawing>
      </w:r>
    </w:p>
    <w:p w:rsidR="00CF4FBE" w:rsidRDefault="00F16F71">
      <w:pPr>
        <w:rPr>
          <w:rFonts w:ascii="Times New Roman" w:eastAsia="Times New Roman" w:hAnsi="Times New Roman" w:cs="Times New Roman"/>
        </w:rPr>
      </w:pPr>
      <w:r>
        <w:rPr>
          <w:rFonts w:ascii="Times New Roman" w:eastAsia="Times New Roman" w:hAnsi="Times New Roman" w:cs="Times New Roman"/>
        </w:rPr>
        <w:t>Figure 4: A comparison of the London boroughs performance in the a) social determinants and b) health outcomes com</w:t>
      </w:r>
      <w:r>
        <w:rPr>
          <w:rFonts w:ascii="Times New Roman" w:eastAsia="Times New Roman" w:hAnsi="Times New Roman" w:cs="Times New Roman"/>
        </w:rPr>
        <w:t>ponents of CHI. There are lower than average z-scores for social determinants and above average z-score for health outcomes. This is in alignment with the ‘healthy London effect’ phenomenon.</w:t>
      </w:r>
    </w:p>
    <w:p w:rsidR="00CF4FBE" w:rsidRDefault="00CF4FBE"/>
    <w:p w:rsidR="00CF4FBE" w:rsidRDefault="00F16F71">
      <w:r>
        <w:t>CHI highlights previously described health inequality divides an</w:t>
      </w:r>
      <w:r>
        <w:t>d strongly correlates with alternative measures. This suggests that CHI is a robust measure of health across England that can be used as a baseline measure for future reference and evaluation. Each indicator is given an equal weighting within the construct</w:t>
      </w:r>
      <w:r>
        <w:t xml:space="preserve"> of each component, and each component has an equal weighting in CHI. There might an increase in accuracy with a more sophisticated weighting mechanism in future. There is also a risk of changes to the methods used in creating the indicators used in CHI, a</w:t>
      </w:r>
      <w:r>
        <w:t>nd this would have to be accounted for in future years. Indicators have been included that have different update schedules, which means that there may be a lag in CHI reflecting changes in local areas. Effort should be made to replicate CHI at clinical geo</w:t>
      </w:r>
      <w:r>
        <w:t xml:space="preserve">graphies, such as Clinical Commissioning Groups, to allow more targeted policy action.  </w:t>
      </w:r>
    </w:p>
    <w:p w:rsidR="00CF4FBE" w:rsidRDefault="00CF4FBE"/>
    <w:p w:rsidR="00CF4FBE" w:rsidRDefault="00F16F71">
      <w:r>
        <w:t xml:space="preserve"> </w:t>
      </w:r>
    </w:p>
    <w:p w:rsidR="00CF4FBE" w:rsidRDefault="00F16F71">
      <w:r>
        <w:rPr>
          <w:noProof/>
          <w:lang w:val="en-GB"/>
        </w:rPr>
        <w:lastRenderedPageBreak/>
        <w:drawing>
          <wp:inline distT="114300" distB="114300" distL="114300" distR="114300">
            <wp:extent cx="5734050" cy="2870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2870200"/>
                    </a:xfrm>
                    <a:prstGeom prst="rect">
                      <a:avLst/>
                    </a:prstGeom>
                    <a:ln/>
                  </pic:spPr>
                </pic:pic>
              </a:graphicData>
            </a:graphic>
          </wp:inline>
        </w:drawing>
      </w:r>
    </w:p>
    <w:p w:rsidR="00CF4FBE" w:rsidRDefault="00F16F71">
      <w:r>
        <w:rPr>
          <w:rFonts w:ascii="Times New Roman" w:eastAsia="Times New Roman" w:hAnsi="Times New Roman" w:cs="Times New Roman"/>
        </w:rPr>
        <w:t>Figure 5: Stakeholder analysis assessing key stakeholders from public interest, national &amp; international organisations, and local area commissioning bodies. Plot is of hypothetical power/interest plane with current positions plotted and aims of CHI marketi</w:t>
      </w:r>
      <w:r>
        <w:rPr>
          <w:rFonts w:ascii="Times New Roman" w:eastAsia="Times New Roman" w:hAnsi="Times New Roman" w:cs="Times New Roman"/>
        </w:rPr>
        <w:t xml:space="preserve">ng strategy denoted as arrows.  </w:t>
      </w:r>
    </w:p>
    <w:p w:rsidR="00CF4FBE" w:rsidRDefault="00CF4FBE"/>
    <w:p w:rsidR="00CF4FBE" w:rsidRDefault="00F16F71">
      <w:r>
        <w:t xml:space="preserve">A stakeholder analysis was undertaken to assess the current power and interest of selected stakeholders (Figure 5) </w:t>
      </w:r>
      <w:hyperlink r:id="rId26">
        <w:r>
          <w:rPr>
            <w:color w:val="000000"/>
          </w:rPr>
          <w:t>(Buse, Mays, and Walt 2012)</w:t>
        </w:r>
      </w:hyperlink>
      <w:r>
        <w:t xml:space="preserve">. The CHI is intended to </w:t>
      </w:r>
      <w:r>
        <w:t xml:space="preserve">give evidential support for interventions for those with position power to use, such as the CMO and public health organisations. Local commissioning will use CHI to target resources to reduce health inequalities. There is the potential for media attention </w:t>
      </w:r>
      <w:r>
        <w:t xml:space="preserve">to develop a negative narrative around geographical variations (eg, “postcode lottery”). The intention would be to combat negative power using expert power from CMO and central government to control the media narrative. </w:t>
      </w:r>
    </w:p>
    <w:p w:rsidR="00CF4FBE" w:rsidRDefault="00CF4FBE">
      <w:pPr>
        <w:pStyle w:val="Heading2"/>
      </w:pPr>
      <w:bookmarkStart w:id="9" w:name="_f9xv5khtzn5u" w:colFirst="0" w:colLast="0"/>
      <w:bookmarkEnd w:id="9"/>
    </w:p>
    <w:p w:rsidR="00CF4FBE" w:rsidRDefault="00F16F71">
      <w:pPr>
        <w:pStyle w:val="Heading2"/>
      </w:pPr>
      <w:bookmarkStart w:id="10" w:name="_puglrstyrth4" w:colFirst="0" w:colLast="0"/>
      <w:bookmarkEnd w:id="10"/>
      <w:r>
        <w:br w:type="page"/>
      </w:r>
    </w:p>
    <w:p w:rsidR="00CF4FBE" w:rsidRDefault="00F16F71">
      <w:pPr>
        <w:pStyle w:val="Heading2"/>
      </w:pPr>
      <w:bookmarkStart w:id="11" w:name="_xkqwadq1idt5" w:colFirst="0" w:colLast="0"/>
      <w:bookmarkEnd w:id="11"/>
      <w:r>
        <w:lastRenderedPageBreak/>
        <w:t>References</w:t>
      </w:r>
    </w:p>
    <w:p w:rsidR="00CF4FBE" w:rsidRDefault="00F16F71" w:rsidP="00312139">
      <w:pPr>
        <w:widowControl w:val="0"/>
        <w:spacing w:before="240" w:line="240" w:lineRule="auto"/>
      </w:pPr>
      <w:hyperlink r:id="rId27">
        <w:r>
          <w:t xml:space="preserve">Buse, K, Mays, N., and Walt, G. 2012. </w:t>
        </w:r>
      </w:hyperlink>
      <w:hyperlink r:id="rId28">
        <w:r>
          <w:rPr>
            <w:i/>
          </w:rPr>
          <w:t>Making Health Policy</w:t>
        </w:r>
      </w:hyperlink>
      <w:hyperlink r:id="rId29">
        <w:r>
          <w:t>. McGraw-Hill Education (UK).</w:t>
        </w:r>
      </w:hyperlink>
    </w:p>
    <w:p w:rsidR="00CF4FBE" w:rsidRDefault="00CF4FBE">
      <w:pPr>
        <w:widowControl w:val="0"/>
        <w:spacing w:before="240" w:line="240" w:lineRule="auto"/>
        <w:ind w:left="480"/>
      </w:pPr>
    </w:p>
    <w:p w:rsidR="00CF4FBE" w:rsidRDefault="00F16F71" w:rsidP="00312139">
      <w:pPr>
        <w:widowControl w:val="0"/>
        <w:spacing w:line="240" w:lineRule="auto"/>
      </w:pPr>
      <w:hyperlink r:id="rId30">
        <w:r>
          <w:t xml:space="preserve">Connolly, S., O’Reilly, D., and Rosato, M. 2007. “Increasing Inequalities in Health: Is It an Artefact Caused by the Selective Movement of People?” </w:t>
        </w:r>
      </w:hyperlink>
      <w:hyperlink r:id="rId31">
        <w:r>
          <w:rPr>
            <w:i/>
          </w:rPr>
          <w:t>So</w:t>
        </w:r>
        <w:r>
          <w:rPr>
            <w:i/>
          </w:rPr>
          <w:t>cial Science &amp; Medicine</w:t>
        </w:r>
      </w:hyperlink>
      <w:hyperlink r:id="rId32">
        <w:r>
          <w:t xml:space="preserve"> 64 (10): 2008–15.</w:t>
        </w:r>
      </w:hyperlink>
    </w:p>
    <w:p w:rsidR="00CF4FBE" w:rsidRDefault="00CF4FBE">
      <w:pPr>
        <w:widowControl w:val="0"/>
        <w:spacing w:line="240" w:lineRule="auto"/>
        <w:ind w:left="480"/>
      </w:pPr>
    </w:p>
    <w:p w:rsidR="00CF4FBE" w:rsidRDefault="00F16F71" w:rsidP="00312139">
      <w:pPr>
        <w:widowControl w:val="0"/>
        <w:spacing w:line="240" w:lineRule="auto"/>
      </w:pPr>
      <w:hyperlink r:id="rId33">
        <w:r>
          <w:t xml:space="preserve">Dahlgren, Göran, Margaret Whitehead, and World Health Organization. Regional Office for Europe. 1992. </w:t>
        </w:r>
      </w:hyperlink>
      <w:hyperlink r:id="rId34">
        <w:r>
          <w:rPr>
            <w:i/>
          </w:rPr>
          <w:t>Policies and Strategies to Promote Equity in Health</w:t>
        </w:r>
      </w:hyperlink>
      <w:hyperlink r:id="rId35">
        <w:r>
          <w:t>. World Health Organization, Regional Office for Europe.</w:t>
        </w:r>
      </w:hyperlink>
    </w:p>
    <w:p w:rsidR="00CF4FBE" w:rsidRDefault="00CF4FBE">
      <w:pPr>
        <w:widowControl w:val="0"/>
        <w:spacing w:line="240" w:lineRule="auto"/>
        <w:ind w:left="480"/>
      </w:pPr>
    </w:p>
    <w:p w:rsidR="00CF4FBE" w:rsidRDefault="00F16F71" w:rsidP="00312139">
      <w:pPr>
        <w:widowControl w:val="0"/>
        <w:spacing w:line="240" w:lineRule="auto"/>
      </w:pPr>
      <w:hyperlink r:id="rId36">
        <w:r>
          <w:t>Davies, S. C. 2018. “Annual Report of the Chief Medical Officer, 2018, Health 2040 Better Health Within Reach.”</w:t>
        </w:r>
      </w:hyperlink>
      <w:r>
        <w:t xml:space="preserve"> Retrieved April 18, 2019, from </w:t>
      </w:r>
      <w:hyperlink r:id="rId37">
        <w:r>
          <w:rPr>
            <w:color w:val="1155CC"/>
            <w:u w:val="single"/>
          </w:rPr>
          <w:t>https://www.gov.uk/government/publications/chief-medical-officer-annual-report-2018-better-health-within-reach</w:t>
        </w:r>
      </w:hyperlink>
    </w:p>
    <w:p w:rsidR="00CF4FBE" w:rsidRDefault="00CF4FBE">
      <w:pPr>
        <w:widowControl w:val="0"/>
        <w:spacing w:line="240" w:lineRule="auto"/>
        <w:ind w:left="480"/>
      </w:pPr>
    </w:p>
    <w:p w:rsidR="00CF4FBE" w:rsidRDefault="00F16F71" w:rsidP="00312139">
      <w:pPr>
        <w:widowControl w:val="0"/>
        <w:spacing w:line="240" w:lineRule="auto"/>
      </w:pPr>
      <w:hyperlink r:id="rId38">
        <w:r>
          <w:t>Doran, T., Drever, F., and Whitehead, M. 2004. “Is There a No</w:t>
        </w:r>
        <w:r>
          <w:t xml:space="preserve">rth-South Divide in Social Class Inequalities in Health in Great Britain? Cross Sectional Study Using Data from the 2001 Census.” </w:t>
        </w:r>
      </w:hyperlink>
      <w:hyperlink r:id="rId39">
        <w:r>
          <w:rPr>
            <w:i/>
          </w:rPr>
          <w:t xml:space="preserve">BMJ </w:t>
        </w:r>
      </w:hyperlink>
      <w:hyperlink r:id="rId40">
        <w:r>
          <w:t xml:space="preserve"> 328 (7447): 1</w:t>
        </w:r>
        <w:r>
          <w:t>043–45.</w:t>
        </w:r>
      </w:hyperlink>
    </w:p>
    <w:p w:rsidR="00CF4FBE" w:rsidRDefault="00CF4FBE">
      <w:pPr>
        <w:widowControl w:val="0"/>
        <w:spacing w:line="240" w:lineRule="auto"/>
        <w:ind w:left="480"/>
      </w:pPr>
    </w:p>
    <w:p w:rsidR="00CF4FBE" w:rsidRDefault="00F16F71" w:rsidP="00312139">
      <w:pPr>
        <w:widowControl w:val="0"/>
        <w:spacing w:line="240" w:lineRule="auto"/>
      </w:pPr>
      <w:r>
        <w:t>IMHE</w:t>
      </w:r>
      <w:hyperlink r:id="rId41">
        <w:r>
          <w:t>. 2015. “GBD Compare.” IHME, University of Washington Seattle, WA.</w:t>
        </w:r>
      </w:hyperlink>
    </w:p>
    <w:p w:rsidR="00CF4FBE" w:rsidRDefault="00CF4FBE">
      <w:pPr>
        <w:widowControl w:val="0"/>
        <w:spacing w:line="240" w:lineRule="auto"/>
        <w:ind w:left="480"/>
      </w:pPr>
    </w:p>
    <w:p w:rsidR="00CF4FBE" w:rsidRDefault="00F16F71" w:rsidP="00312139">
      <w:pPr>
        <w:widowControl w:val="0"/>
        <w:spacing w:line="240" w:lineRule="auto"/>
      </w:pPr>
      <w:hyperlink r:id="rId42">
        <w:r>
          <w:t>Kontopantelis, E., Buchan, I., Webb, R. T., Ashcroft, D. M., Mamas,</w:t>
        </w:r>
        <w:r>
          <w:t xml:space="preserve"> M. A., and Doran, T. 2018. “Disparities in Mortality among 25--44-Year-Olds in England: A Longitudinal, Population-Based Study.” </w:t>
        </w:r>
      </w:hyperlink>
      <w:hyperlink r:id="rId43">
        <w:r>
          <w:rPr>
            <w:i/>
          </w:rPr>
          <w:t>The Lancet Public Health</w:t>
        </w:r>
      </w:hyperlink>
      <w:hyperlink r:id="rId44">
        <w:r>
          <w:t xml:space="preserve"> 3 (12): e567–75.</w:t>
        </w:r>
      </w:hyperlink>
    </w:p>
    <w:p w:rsidR="00CF4FBE" w:rsidRDefault="00CF4FBE">
      <w:pPr>
        <w:widowControl w:val="0"/>
        <w:spacing w:line="240" w:lineRule="auto"/>
        <w:ind w:left="480"/>
      </w:pPr>
    </w:p>
    <w:p w:rsidR="00CF4FBE" w:rsidRDefault="00F16F71" w:rsidP="00312139">
      <w:pPr>
        <w:widowControl w:val="0"/>
        <w:spacing w:line="240" w:lineRule="auto"/>
      </w:pPr>
      <w:hyperlink r:id="rId45">
        <w:r>
          <w:t xml:space="preserve">Marmot, M., and R. Bell. 2012. “Fair Society, Healthy Lives.” </w:t>
        </w:r>
      </w:hyperlink>
      <w:hyperlink r:id="rId46">
        <w:r>
          <w:rPr>
            <w:i/>
          </w:rPr>
          <w:t>Public Health</w:t>
        </w:r>
      </w:hyperlink>
      <w:hyperlink r:id="rId47">
        <w:r>
          <w:t xml:space="preserve"> 126 Suppl 1 (September): S4–10.</w:t>
        </w:r>
      </w:hyperlink>
    </w:p>
    <w:p w:rsidR="00CF4FBE" w:rsidRDefault="00CF4FBE">
      <w:pPr>
        <w:widowControl w:val="0"/>
        <w:spacing w:line="240" w:lineRule="auto"/>
        <w:ind w:left="480"/>
      </w:pPr>
    </w:p>
    <w:p w:rsidR="00CF4FBE" w:rsidRDefault="00F16F71" w:rsidP="00312139">
      <w:pPr>
        <w:widowControl w:val="0"/>
        <w:spacing w:line="240" w:lineRule="auto"/>
      </w:pPr>
      <w:hyperlink r:id="rId48">
        <w:r>
          <w:t xml:space="preserve">Minton, J.W., and McCartney, G. 2018. “Is There a North-South Mortality Divide in England or Is London the Outlier?” </w:t>
        </w:r>
      </w:hyperlink>
      <w:hyperlink r:id="rId49">
        <w:r>
          <w:rPr>
            <w:i/>
          </w:rPr>
          <w:t>The Lancet. Public Health</w:t>
        </w:r>
      </w:hyperlink>
      <w:hyperlink r:id="rId50">
        <w:r>
          <w:t xml:space="preserve"> 3 (12): e556–57.</w:t>
        </w:r>
      </w:hyperlink>
    </w:p>
    <w:p w:rsidR="00CF4FBE" w:rsidRDefault="00CF4FBE">
      <w:pPr>
        <w:widowControl w:val="0"/>
        <w:spacing w:line="240" w:lineRule="auto"/>
        <w:ind w:left="480"/>
      </w:pPr>
    </w:p>
    <w:p w:rsidR="00CF4FBE" w:rsidRDefault="00F16F71" w:rsidP="00312139">
      <w:pPr>
        <w:widowControl w:val="0"/>
        <w:spacing w:line="240" w:lineRule="auto"/>
      </w:pPr>
      <w:hyperlink r:id="rId51">
        <w:r>
          <w:t xml:space="preserve">Senior, S. 2019. “Hierarchical Clustering of English Local Authorities by Sub-Domains of the English Indices of Multiple Deprivation.” </w:t>
        </w:r>
      </w:hyperlink>
      <w:r>
        <w:t xml:space="preserve"> Presented at Public Health England Scientific Conference 2019, University of Manchester.</w:t>
      </w:r>
    </w:p>
    <w:p w:rsidR="00CF4FBE" w:rsidRDefault="00CF4FBE">
      <w:pPr>
        <w:widowControl w:val="0"/>
        <w:spacing w:line="240" w:lineRule="auto"/>
        <w:ind w:left="480"/>
      </w:pPr>
    </w:p>
    <w:p w:rsidR="00CF4FBE" w:rsidRDefault="00F16F71" w:rsidP="00312139">
      <w:pPr>
        <w:widowControl w:val="0"/>
        <w:spacing w:after="240" w:line="240" w:lineRule="auto"/>
      </w:pPr>
      <w:hyperlink r:id="rId52">
        <w:r>
          <w:t xml:space="preserve">Su, Y. S., Gelman, A., Hill, J., and Yajima, M. 2011. “Multiple Imputation with Diagnostics (mi) inR: Opening Windows into the Black Box.” </w:t>
        </w:r>
      </w:hyperlink>
      <w:hyperlink r:id="rId53">
        <w:r>
          <w:rPr>
            <w:i/>
          </w:rPr>
          <w:t xml:space="preserve">Journal of </w:t>
        </w:r>
        <w:r>
          <w:rPr>
            <w:i/>
          </w:rPr>
          <w:t>Statistical Software</w:t>
        </w:r>
      </w:hyperlink>
      <w:hyperlink r:id="rId54">
        <w:r>
          <w:t>. https://doi.org/</w:t>
        </w:r>
      </w:hyperlink>
      <w:hyperlink r:id="rId55">
        <w:r>
          <w:t>10.18637/jss.v045.i02</w:t>
        </w:r>
      </w:hyperlink>
      <w:hyperlink r:id="rId56">
        <w:r>
          <w:t>.</w:t>
        </w:r>
      </w:hyperlink>
    </w:p>
    <w:p w:rsidR="00CF4FBE" w:rsidRDefault="00F16F71">
      <w:pPr>
        <w:pStyle w:val="Heading2"/>
      </w:pPr>
      <w:bookmarkStart w:id="12" w:name="_pin9ynkpnwyu" w:colFirst="0" w:colLast="0"/>
      <w:bookmarkEnd w:id="12"/>
      <w:r>
        <w:br w:type="page"/>
      </w:r>
    </w:p>
    <w:p w:rsidR="00CF4FBE" w:rsidRDefault="00F16F71">
      <w:pPr>
        <w:pStyle w:val="Heading2"/>
      </w:pPr>
      <w:bookmarkStart w:id="13" w:name="_rg3agk3ifju5" w:colFirst="0" w:colLast="0"/>
      <w:bookmarkEnd w:id="13"/>
      <w:r>
        <w:lastRenderedPageBreak/>
        <w:t>Appendices</w:t>
      </w:r>
    </w:p>
    <w:p w:rsidR="00CF4FBE" w:rsidRDefault="00F16F71">
      <w:pPr>
        <w:rPr>
          <w:rFonts w:ascii="Times New Roman" w:eastAsia="Times New Roman" w:hAnsi="Times New Roman" w:cs="Times New Roman"/>
        </w:rPr>
      </w:pPr>
      <w:r>
        <w:rPr>
          <w:rFonts w:ascii="Times New Roman" w:eastAsia="Times New Roman" w:hAnsi="Times New Roman" w:cs="Times New Roman"/>
        </w:rPr>
        <w:t>Appendix 1: Fin</w:t>
      </w:r>
      <w:r>
        <w:rPr>
          <w:rFonts w:ascii="Times New Roman" w:eastAsia="Times New Roman" w:hAnsi="Times New Roman" w:cs="Times New Roman"/>
        </w:rPr>
        <w:t>gertips indicators selected to be included in analysis from Fingertips platform for each component before tests for missing data or covariance.</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w:t>
            </w:r>
            <w:r>
              <w:rPr>
                <w:rFonts w:ascii="Times New Roman" w:eastAsia="Times New Roman" w:hAnsi="Times New Roman" w:cs="Times New Roman"/>
                <w:sz w:val="18"/>
                <w:szCs w:val="18"/>
              </w:rPr>
              <w:t>ld)</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mortality attributable to particulate air pollution</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(KSI) casualties on the roads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status at time of delivery</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contact in adult carers: % of adult carers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- 4-5 year olds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five year old children free from dental decay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w:t>
            </w:r>
            <w:r>
              <w:rPr>
                <w:rFonts w:ascii="Times New Roman" w:eastAsia="Times New Roman" w:hAnsi="Times New Roman" w:cs="Times New Roman"/>
                <w:sz w:val="18"/>
                <w:szCs w:val="18"/>
              </w:rPr>
              <w:t>ld excess weight in 4-5 and 10-11 year olds - 10-11 year olds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causes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Breastfeeding prevalence at 6-8 weeks after birth</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all cardiovascular diseases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 time of delivery: % of mothers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Adults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cardiovascular diseases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18 conceptions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r>
              <w:rPr>
                <w:rFonts w:ascii="Times New Roman" w:eastAsia="Times New Roman" w:hAnsi="Times New Roman" w:cs="Times New Roman"/>
                <w:sz w:val="18"/>
                <w:szCs w:val="18"/>
              </w:rPr>
              <w:t>)</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cancer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cancer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Proportion of children aged 2-2½yrs offered ASQ-3 as part of </w:t>
            </w:r>
            <w:r>
              <w:rPr>
                <w:rFonts w:ascii="Times New Roman" w:eastAsia="Times New Roman" w:hAnsi="Times New Roman" w:cs="Times New Roman"/>
                <w:sz w:val="18"/>
                <w:szCs w:val="18"/>
              </w:rPr>
              <w:t>the Healthy Child Programme or integrated review</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w:t>
            </w:r>
            <w:r>
              <w:rPr>
                <w:rFonts w:ascii="Times New Roman" w:eastAsia="Times New Roman" w:hAnsi="Times New Roman" w:cs="Times New Roman"/>
                <w:sz w:val="18"/>
                <w:szCs w:val="18"/>
              </w:rPr>
              <w:t>d daily at age 15 (WAY survey)</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respiratory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w:t>
            </w:r>
            <w:r>
              <w:rPr>
                <w:rFonts w:ascii="Times New Roman" w:eastAsia="Times New Roman" w:hAnsi="Times New Roman" w:cs="Times New Roman"/>
                <w:sz w:val="18"/>
                <w:szCs w:val="18"/>
              </w:rPr>
              <w:t>espiratory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w:t>
            </w:r>
            <w:r>
              <w:rPr>
                <w:rFonts w:ascii="Times New Roman" w:eastAsia="Times New Roman" w:hAnsi="Times New Roman" w:cs="Times New Roman"/>
                <w:sz w:val="18"/>
                <w:szCs w:val="18"/>
              </w:rPr>
              <w:t>h a high anxiety score</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under 75 mortality rate in adults with serious mental illness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Long-term unemployment: rate per </w:t>
            </w:r>
            <w:r>
              <w:rPr>
                <w:rFonts w:ascii="Times New Roman" w:eastAsia="Times New Roman" w:hAnsi="Times New Roman" w:cs="Times New Roman"/>
                <w:sz w:val="18"/>
                <w:szCs w:val="18"/>
              </w:rPr>
              <w:lastRenderedPageBreak/>
              <w:t>1,000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CHD: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Emergency readmissions within 30 </w:t>
            </w:r>
            <w:r>
              <w:rPr>
                <w:rFonts w:ascii="Times New Roman" w:eastAsia="Times New Roman" w:hAnsi="Times New Roman" w:cs="Times New Roman"/>
                <w:sz w:val="18"/>
                <w:szCs w:val="18"/>
              </w:rPr>
              <w:lastRenderedPageBreak/>
              <w:t>days of discharge from hospital</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STI testing rate (exc chlamydia aged &lt;25) / 100,000</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Obese children (10-11 years)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16-18 year olds not in ed</w:t>
            </w:r>
            <w:r>
              <w:rPr>
                <w:rFonts w:ascii="Times New Roman" w:eastAsia="Times New Roman" w:hAnsi="Times New Roman" w:cs="Times New Roman"/>
                <w:sz w:val="18"/>
                <w:szCs w:val="18"/>
              </w:rPr>
              <w:t>ucation, employment or training: % of 16-18 year olds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attributable mortality</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lung cancer</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Adults receiving long term learning disabilities support from local authority per 100 people on GP learning disabilities register</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w:t>
            </w:r>
            <w:r>
              <w:rPr>
                <w:rFonts w:ascii="Times New Roman" w:eastAsia="Times New Roman" w:hAnsi="Times New Roman" w:cs="Times New Roman"/>
                <w:sz w:val="18"/>
                <w:szCs w:val="18"/>
              </w:rPr>
              <w:t>ectal cancer</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breast cancer</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w:t>
            </w:r>
            <w:r>
              <w:rPr>
                <w:rFonts w:ascii="Times New Roman" w:eastAsia="Times New Roman" w:hAnsi="Times New Roman" w:cs="Times New Roman"/>
                <w:sz w:val="18"/>
                <w:szCs w:val="18"/>
              </w:rPr>
              <w:t>ously injured (KSI) on England's roads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Density of fast food outlets</w:t>
            </w: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diabetic eye disease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4.16 -  Estimated dementia diagnosis rate (aged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Healthy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with one or more decayed,  missing or filled teeth</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all five areas of development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communication skills at 2-2½ years</w:t>
            </w:r>
          </w:p>
        </w:tc>
        <w:tc>
          <w:tcPr>
            <w:tcW w:w="3009"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Percentage of children at or above expected level of development in </w:t>
            </w:r>
            <w:r>
              <w:rPr>
                <w:rFonts w:ascii="Times New Roman" w:eastAsia="Times New Roman" w:hAnsi="Times New Roman" w:cs="Times New Roman"/>
                <w:sz w:val="18"/>
                <w:szCs w:val="18"/>
              </w:rPr>
              <w:lastRenderedPageBreak/>
              <w:t>gross motor skills at 2-2½ years</w:t>
            </w: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Number of UTLAs where inequality in life expectancy at birth has </w:t>
            </w:r>
            <w:r>
              <w:rPr>
                <w:rFonts w:ascii="Times New Roman" w:eastAsia="Times New Roman" w:hAnsi="Times New Roman" w:cs="Times New Roman"/>
                <w:sz w:val="18"/>
                <w:szCs w:val="18"/>
              </w:rPr>
              <w:lastRenderedPageBreak/>
              <w:t>decreased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Percentage of children at or above exp</w:t>
            </w:r>
            <w:r>
              <w:rPr>
                <w:rFonts w:ascii="Times New Roman" w:eastAsia="Times New Roman" w:hAnsi="Times New Roman" w:cs="Times New Roman"/>
                <w:sz w:val="18"/>
                <w:szCs w:val="18"/>
              </w:rPr>
              <w:t>ected level of development in fine motor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problem solving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life expectancy at birth between each local authority and England as a whole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personal-social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ENGLAND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w:t>
            </w:r>
            <w:r>
              <w:rPr>
                <w:rFonts w:ascii="Times New Roman" w:eastAsia="Times New Roman" w:hAnsi="Times New Roman" w:cs="Times New Roman"/>
                <w:sz w:val="18"/>
                <w:szCs w:val="18"/>
              </w:rPr>
              <w:t>n of New Birth Visits (NBVs) completed within 14 days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LA</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infants receiving a 6 to 8 week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hypertension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receiving a 12-month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stroke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Percentage of children achieving at least an </w:t>
            </w:r>
            <w:r>
              <w:rPr>
                <w:rFonts w:ascii="Times New Roman" w:eastAsia="Times New Roman" w:hAnsi="Times New Roman" w:cs="Times New Roman"/>
                <w:sz w:val="18"/>
                <w:szCs w:val="18"/>
              </w:rPr>
              <w:t>expected level of development across all learning goals in communication and language.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CVD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COPD (all ages) - </w:t>
            </w:r>
            <w:r>
              <w:rPr>
                <w:rFonts w:ascii="Times New Roman" w:eastAsia="Times New Roman" w:hAnsi="Times New Roman" w:cs="Times New Roman"/>
                <w:sz w:val="18"/>
                <w:szCs w:val="18"/>
              </w:rPr>
              <w:t>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undiagnosed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depression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stroke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peripheral arterial disease (PAD)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peripheral arterial disease (PAD)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Heart failure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COPD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Rate of deaths from Cardiovascular Disease among people aged 65 years </w:t>
            </w:r>
            <w:r>
              <w:rPr>
                <w:rFonts w:ascii="Times New Roman" w:eastAsia="Times New Roman" w:hAnsi="Times New Roman" w:cs="Times New Roman"/>
                <w:sz w:val="18"/>
                <w:szCs w:val="18"/>
              </w:rPr>
              <w:lastRenderedPageBreak/>
              <w:t>and over</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rsidTr="00312139">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F16F71">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bl>
    <w:p w:rsidR="00CF4FBE" w:rsidRDefault="00CF4FBE"/>
    <w:p w:rsidR="00CF4FBE" w:rsidRDefault="00F16F71">
      <w:r>
        <w:br w:type="page"/>
      </w:r>
    </w:p>
    <w:p w:rsidR="00CF4FBE" w:rsidRDefault="00F16F71">
      <w:pPr>
        <w:rPr>
          <w:rFonts w:ascii="Times New Roman" w:eastAsia="Times New Roman" w:hAnsi="Times New Roman" w:cs="Times New Roman"/>
        </w:rPr>
      </w:pPr>
      <w:r>
        <w:rPr>
          <w:rFonts w:ascii="Times New Roman" w:eastAsia="Times New Roman" w:hAnsi="Times New Roman" w:cs="Times New Roman"/>
        </w:rPr>
        <w:lastRenderedPageBreak/>
        <w:t xml:space="preserve">Appendix 2: Final indicators included in the CHI from Fingertips and IMD in the components to which they contributed. . </w:t>
      </w:r>
    </w:p>
    <w:p w:rsidR="00CF4FBE" w:rsidRDefault="00CF4FBE">
      <w:pPr>
        <w:rPr>
          <w:rFonts w:ascii="Times New Roman" w:eastAsia="Times New Roman" w:hAnsi="Times New Roman" w:cs="Times New Roman"/>
        </w:rPr>
      </w:pPr>
    </w:p>
    <w:tbl>
      <w:tblPr>
        <w:tblStyle w:val="a3"/>
        <w:tblW w:w="9180" w:type="dxa"/>
        <w:tblBorders>
          <w:top w:val="nil"/>
          <w:left w:val="nil"/>
          <w:bottom w:val="nil"/>
          <w:right w:val="nil"/>
          <w:insideH w:val="nil"/>
          <w:insideV w:val="nil"/>
        </w:tblBorders>
        <w:tblLayout w:type="fixed"/>
        <w:tblLook w:val="0600" w:firstRow="0" w:lastRow="0" w:firstColumn="0" w:lastColumn="0" w:noHBand="1" w:noVBand="1"/>
      </w:tblPr>
      <w:tblGrid>
        <w:gridCol w:w="3210"/>
        <w:gridCol w:w="3345"/>
        <w:gridCol w:w="2625"/>
      </w:tblGrid>
      <w:tr w:rsidR="00CF4FBE">
        <w:trPr>
          <w:trHeight w:val="600"/>
        </w:trPr>
        <w:tc>
          <w:tcPr>
            <w:tcW w:w="321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3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26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rPr>
          <w:trHeight w:val="1700"/>
        </w:trPr>
        <w:tc>
          <w:tcPr>
            <w:tcW w:w="3210" w:type="dxa"/>
            <w:tcBorders>
              <w:top w:val="single" w:sz="12" w:space="0" w:color="000000"/>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old)</w:t>
            </w:r>
          </w:p>
        </w:tc>
        <w:tc>
          <w:tcPr>
            <w:tcW w:w="3345" w:type="dxa"/>
            <w:tcBorders>
              <w:top w:val="single" w:sz="12" w:space="0" w:color="000000"/>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annual all-cause adult mortality attributable to anthropogenic (human-made) particulate air pollution (measured as fine particulate matter, PM2.5*).</w:t>
            </w:r>
          </w:p>
        </w:tc>
        <w:tc>
          <w:tcPr>
            <w:tcW w:w="2625" w:type="dxa"/>
            <w:tcBorders>
              <w:top w:val="single" w:sz="12" w:space="0" w:color="000000"/>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w:t>
            </w:r>
            <w:r>
              <w:rPr>
                <w:rFonts w:ascii="Times New Roman" w:eastAsia="Times New Roman" w:hAnsi="Times New Roman" w:cs="Times New Roman"/>
                <w:sz w:val="18"/>
                <w:szCs w:val="18"/>
              </w:rPr>
              <w:t>es: % of all live births</w:t>
            </w:r>
          </w:p>
        </w:tc>
      </w:tr>
      <w:tr w:rsidR="00CF4FBE">
        <w:trPr>
          <w:trHeight w:val="11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on roads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all cardiovascular diseases</w:t>
            </w:r>
          </w:p>
        </w:tc>
      </w:tr>
      <w:tr w:rsidR="00CF4FBE">
        <w:trPr>
          <w:trHeight w:val="14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- 4-5 year olds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 considered preventable</w:t>
            </w:r>
          </w:p>
        </w:tc>
      </w:tr>
      <w:tr w:rsidR="00CF4FBE">
        <w:trPr>
          <w:trHeight w:val="116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w:t>
            </w:r>
            <w:r>
              <w:rPr>
                <w:rFonts w:ascii="Times New Roman" w:eastAsia="Times New Roman" w:hAnsi="Times New Roman" w:cs="Times New Roman"/>
                <w:sz w:val="18"/>
                <w:szCs w:val="18"/>
              </w:rPr>
              <w:t>ct in adult carers: % of adult carers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- 10-11 year olds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respiratory disease considered preventable</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rPr>
          <w:trHeight w:val="11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adults (aged 18+) classified as overweight or obese - current method</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read</w:t>
            </w:r>
            <w:r>
              <w:rPr>
                <w:rFonts w:ascii="Times New Roman" w:eastAsia="Times New Roman" w:hAnsi="Times New Roman" w:cs="Times New Roman"/>
                <w:sz w:val="18"/>
                <w:szCs w:val="18"/>
              </w:rPr>
              <w:t>missions within 30 days of discharge from hospital</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aged 2-2½yrs offered ASQ-3 as part of the Healthy Child Programme or integrated review</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rPr>
          <w:trHeight w:val="13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Successful completion of drug treatment - opiate users: % who do not re-present within 6 months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w:t>
            </w:r>
            <w:r>
              <w:rPr>
                <w:rFonts w:ascii="Times New Roman" w:eastAsia="Times New Roman" w:hAnsi="Times New Roman" w:cs="Times New Roman"/>
                <w:sz w:val="18"/>
                <w:szCs w:val="18"/>
              </w:rPr>
              <w:t>e-present within 6 months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rPr>
          <w:trHeight w:val="106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consumed daily at age 15 (WAY survey)</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with a high anxiety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rPr>
          <w:trHeight w:val="7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Long-term unemployment: rate per 1,000 working age population</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w:t>
            </w:r>
            <w:r>
              <w:rPr>
                <w:rFonts w:ascii="Times New Roman" w:eastAsia="Times New Roman" w:hAnsi="Times New Roman" w:cs="Times New Roman"/>
                <w:sz w:val="18"/>
                <w:szCs w:val="18"/>
              </w:rPr>
              <w:t>eaths index (single year, age 85+)</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STI testing rate (exc chlamydia aged &lt;25) / 100,000</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16-18 year olds not in education, employment or training: % of 16-18 year olds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Deaths from lung cancer</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under 75 mortality rate in adults wi</w:t>
            </w:r>
            <w:r>
              <w:rPr>
                <w:rFonts w:ascii="Times New Roman" w:eastAsia="Times New Roman" w:hAnsi="Times New Roman" w:cs="Times New Roman"/>
                <w:sz w:val="18"/>
                <w:szCs w:val="18"/>
              </w:rPr>
              <w:t>th serious mental illness</w:t>
            </w:r>
          </w:p>
        </w:tc>
      </w:tr>
      <w:tr w:rsidR="00CF4FBE">
        <w:trPr>
          <w:trHeight w:val="136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colorectal cancer</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rPr>
          <w:trHeight w:val="12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Adults receiving long term learning disabilities support from local authority per 100 people on GP learning disabilities register</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breast cancer</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seriously injured (KSI) on England's roads</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rPr>
          <w:trHeight w:val="13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five year old children free from dental decay</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Cardiovascular Disease among people aged 65 years and over</w:t>
            </w:r>
          </w:p>
        </w:tc>
      </w:tr>
      <w:tr w:rsidR="00CF4FBE">
        <w:trPr>
          <w:trHeight w:val="112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r w:rsidR="00CF4FBE">
        <w:trPr>
          <w:trHeight w:val="8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dementia diagnosis rate (aged 65+)</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with one or more decayed, missing or filled teeth</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New Birth Visits (NBVs) completed within 14 days</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infants receiving a 6 to 8 week review</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Proportion of children receiving a 12-month review</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10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achieving at least an expected level of development across all learning goals in communication and language.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Score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Employment Score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Education, Skills and Training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Deprivation and Disability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Crime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Barriers to Housing and Services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Living Environment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Children Index (IDACI) Score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Older People (IDAOPI) Score (rate)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and Young People Sub-domain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Adult Skills Sub-domain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Geographical Barriers Sub-domain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Wider Barriers Sub-domain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Indoors Sub-domain Score</w:t>
            </w:r>
          </w:p>
        </w:tc>
        <w:tc>
          <w:tcPr>
            <w:tcW w:w="334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single" w:sz="12" w:space="0" w:color="000000"/>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Outdoors Sub-domain Score</w:t>
            </w:r>
          </w:p>
        </w:tc>
        <w:tc>
          <w:tcPr>
            <w:tcW w:w="3345" w:type="dxa"/>
            <w:tcBorders>
              <w:bottom w:val="single" w:sz="12" w:space="0" w:color="000000"/>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Borders>
              <w:bottom w:val="single" w:sz="12" w:space="0" w:color="000000"/>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bl>
    <w:p w:rsidR="00CF4FBE" w:rsidRDefault="00CF4FBE">
      <w:pPr>
        <w:rPr>
          <w:rFonts w:ascii="Times New Roman" w:eastAsia="Times New Roman" w:hAnsi="Times New Roman" w:cs="Times New Roman"/>
        </w:rPr>
      </w:pPr>
    </w:p>
    <w:p w:rsidR="00CF4FBE" w:rsidRDefault="00F16F71">
      <w:pPr>
        <w:rPr>
          <w:rFonts w:ascii="Times New Roman" w:eastAsia="Times New Roman" w:hAnsi="Times New Roman" w:cs="Times New Roman"/>
        </w:rPr>
      </w:pPr>
      <w:r>
        <w:br w:type="page"/>
      </w:r>
    </w:p>
    <w:p w:rsidR="00CF4FBE" w:rsidRDefault="00F16F71">
      <w:pPr>
        <w:rPr>
          <w:rFonts w:ascii="Times New Roman" w:eastAsia="Times New Roman" w:hAnsi="Times New Roman" w:cs="Times New Roman"/>
        </w:rPr>
      </w:pPr>
      <w:r>
        <w:rPr>
          <w:rFonts w:ascii="Times New Roman" w:eastAsia="Times New Roman" w:hAnsi="Times New Roman" w:cs="Times New Roman"/>
        </w:rPr>
        <w:lastRenderedPageBreak/>
        <w:t xml:space="preserve">Appendix 3: The CHI scores and rankings for UTLAs in England for 2018. </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1125"/>
        <w:gridCol w:w="870"/>
        <w:gridCol w:w="960"/>
        <w:gridCol w:w="945"/>
        <w:gridCol w:w="780"/>
        <w:gridCol w:w="765"/>
        <w:gridCol w:w="945"/>
        <w:gridCol w:w="1185"/>
        <w:gridCol w:w="1470"/>
      </w:tblGrid>
      <w:tr w:rsidR="00CF4FBE">
        <w:trPr>
          <w:trHeight w:val="500"/>
        </w:trPr>
        <w:tc>
          <w:tcPr>
            <w:tcW w:w="11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AreaCode</w:t>
            </w:r>
          </w:p>
        </w:tc>
        <w:tc>
          <w:tcPr>
            <w:tcW w:w="8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Score</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 Rank</w:t>
            </w:r>
          </w:p>
        </w:tc>
        <w:tc>
          <w:tcPr>
            <w:tcW w:w="7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Rank</w:t>
            </w:r>
          </w:p>
        </w:tc>
        <w:tc>
          <w:tcPr>
            <w:tcW w:w="7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 Rank</w:t>
            </w:r>
          </w:p>
        </w:tc>
        <w:tc>
          <w:tcPr>
            <w:tcW w:w="118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14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 Rank</w:t>
            </w:r>
          </w:p>
        </w:tc>
      </w:tr>
      <w:tr w:rsidR="00CF4FBE">
        <w:trPr>
          <w:trHeight w:val="500"/>
        </w:trPr>
        <w:tc>
          <w:tcPr>
            <w:tcW w:w="1125" w:type="dxa"/>
            <w:tcBorders>
              <w:top w:val="single" w:sz="12" w:space="0" w:color="000000"/>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E06000001</w:t>
            </w:r>
          </w:p>
        </w:tc>
        <w:tc>
          <w:tcPr>
            <w:tcW w:w="87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96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8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6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94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18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w:t>
            </w:r>
          </w:p>
        </w:tc>
        <w:tc>
          <w:tcPr>
            <w:tcW w:w="147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E06000019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0.561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E06000038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6E-04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E08000002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E08000022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E09000005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4E-04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E09000024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0.824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E10000014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E10000016</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0.118</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E10000023</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E10000024</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E10000025</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0.483</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0.669</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E10000027</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0.056</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0.276</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E10000028</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E10000029</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E10000030</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0.428</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E10000031</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0.352</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0.312</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E10000032</w:t>
            </w:r>
          </w:p>
        </w:tc>
        <w:tc>
          <w:tcPr>
            <w:tcW w:w="8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0.161</w:t>
            </w:r>
          </w:p>
        </w:tc>
        <w:tc>
          <w:tcPr>
            <w:tcW w:w="94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118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147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r>
      <w:tr w:rsidR="00CF4FBE">
        <w:trPr>
          <w:trHeight w:val="500"/>
        </w:trPr>
        <w:tc>
          <w:tcPr>
            <w:tcW w:w="1125" w:type="dxa"/>
            <w:tcBorders>
              <w:top w:val="nil"/>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E10000034</w:t>
            </w:r>
          </w:p>
        </w:tc>
        <w:tc>
          <w:tcPr>
            <w:tcW w:w="87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0.245</w:t>
            </w:r>
          </w:p>
        </w:tc>
        <w:tc>
          <w:tcPr>
            <w:tcW w:w="96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0.302</w:t>
            </w:r>
          </w:p>
        </w:tc>
        <w:tc>
          <w:tcPr>
            <w:tcW w:w="94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8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6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0.107</w:t>
            </w:r>
          </w:p>
        </w:tc>
        <w:tc>
          <w:tcPr>
            <w:tcW w:w="94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118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0.325</w:t>
            </w:r>
          </w:p>
        </w:tc>
        <w:tc>
          <w:tcPr>
            <w:tcW w:w="147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F16F71">
      <w:pPr>
        <w:rPr>
          <w:rFonts w:ascii="Times New Roman" w:eastAsia="Times New Roman" w:hAnsi="Times New Roman" w:cs="Times New Roman"/>
        </w:rPr>
      </w:pPr>
      <w:r>
        <w:br w:type="page"/>
      </w:r>
    </w:p>
    <w:p w:rsidR="00CF4FBE" w:rsidRDefault="00F16F71">
      <w:pPr>
        <w:rPr>
          <w:rFonts w:ascii="Times New Roman" w:eastAsia="Times New Roman" w:hAnsi="Times New Roman" w:cs="Times New Roman"/>
        </w:rPr>
      </w:pPr>
      <w:r>
        <w:rPr>
          <w:rFonts w:ascii="Times New Roman" w:eastAsia="Times New Roman" w:hAnsi="Times New Roman" w:cs="Times New Roman"/>
        </w:rPr>
        <w:lastRenderedPageBreak/>
        <w:t>Appendix 4: Baseline measurements of component parts of CHI for future evaluation against.</w:t>
      </w:r>
    </w:p>
    <w:tbl>
      <w:tblPr>
        <w:tblStyle w:val="a5"/>
        <w:tblW w:w="9315"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1665"/>
        <w:gridCol w:w="1365"/>
        <w:gridCol w:w="1065"/>
        <w:gridCol w:w="960"/>
        <w:gridCol w:w="1515"/>
        <w:gridCol w:w="1365"/>
        <w:gridCol w:w="1380"/>
      </w:tblGrid>
      <w:tr w:rsidR="00CF4FBE">
        <w:trPr>
          <w:trHeight w:val="740"/>
        </w:trPr>
        <w:tc>
          <w:tcPr>
            <w:tcW w:w="16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Indicator</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Stand dev</w:t>
            </w:r>
          </w:p>
        </w:tc>
        <w:tc>
          <w:tcPr>
            <w:tcW w:w="10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Mean</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Median</w:t>
            </w:r>
          </w:p>
        </w:tc>
        <w:tc>
          <w:tcPr>
            <w:tcW w:w="151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Coefficient of Variation</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Minimum</w:t>
            </w:r>
          </w:p>
        </w:tc>
        <w:tc>
          <w:tcPr>
            <w:tcW w:w="13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Maximum</w:t>
            </w:r>
          </w:p>
        </w:tc>
      </w:tr>
      <w:tr w:rsidR="00CF4FBE">
        <w:trPr>
          <w:trHeight w:val="500"/>
        </w:trPr>
        <w:tc>
          <w:tcPr>
            <w:tcW w:w="1665" w:type="dxa"/>
            <w:tcBorders>
              <w:top w:val="single" w:sz="12" w:space="0" w:color="000000"/>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X10501</w:t>
            </w:r>
          </w:p>
        </w:tc>
        <w:tc>
          <w:tcPr>
            <w:tcW w:w="136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1.353</w:t>
            </w:r>
          </w:p>
        </w:tc>
        <w:tc>
          <w:tcPr>
            <w:tcW w:w="106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4.218</w:t>
            </w:r>
          </w:p>
        </w:tc>
        <w:tc>
          <w:tcPr>
            <w:tcW w:w="96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w:t>
            </w:r>
          </w:p>
        </w:tc>
        <w:tc>
          <w:tcPr>
            <w:tcW w:w="151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0.321</w:t>
            </w:r>
          </w:p>
        </w:tc>
        <w:tc>
          <w:tcPr>
            <w:tcW w:w="1365"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380" w:type="dxa"/>
            <w:tcBorders>
              <w:top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X22304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2.749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20.39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20.47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X30311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87.02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88.91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66.66</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95.77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6.695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35.75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3.639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3.184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71.47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71.33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63.86</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276.7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659.2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588.7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321.3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X90820</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7.702</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24.74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X90832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51.49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X91116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11.22</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48.41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X91126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4.675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X91133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3.333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X91307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17441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13983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59480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X91463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575.2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X91524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75.98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79.34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91.94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8.075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39.13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39.62</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18.16</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54.89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X92477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55.55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162.4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161.9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X92543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9.696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91.06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X92785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94.46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X92899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4.157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22.24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21.45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X93131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8.061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19.52</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36.21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X93175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56.75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55.84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32.03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X93376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8.974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X93469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9.129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87.87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90.07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33.15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X93470</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14.92</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84.98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89.01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15.86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84.04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88.63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9.955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16.42</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80.47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X93494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3.278</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82.27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74.31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1.731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2.674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X848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2.099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9.835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5.375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X1203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60.03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33.52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X11001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37.94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36.19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4.367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34.81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21.71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X30101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5.092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5.023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3.109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7.974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17.11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2.584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6.711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X91414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651.4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637.4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393.8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15.16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8.131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23.07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X92527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2.415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2.385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X92588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4.198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17.85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34.95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32.72</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6.754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X93014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5.005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65.25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53.34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X93077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45.73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X93088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61.61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62.19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40.47</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X93347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78.24</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54.31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X40401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17.51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75.57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43.98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X40602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5.441</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16.68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9.513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X40702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X41001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9.879</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9.492</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6.054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X41101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42.65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107.6</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299.9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7.628</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13.82</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6.318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252.1</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245.2</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224.7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934.4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X90360</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7.403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42.41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30.8</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30.17</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5.325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72.16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4.069</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4.348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34.38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5.847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29.45</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29.36</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0.199</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11.11</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X91096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77.92</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374.7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366.8</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164.8</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X91195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X92326</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3.284</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5.345</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1.848</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5.383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5.053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2.682</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X92441</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75.07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76.51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52.9</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93.59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X92718</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132.8</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1137</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1135</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767.3</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X92724</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127.6</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1121</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834.6</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X92725</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123.7</w:t>
            </w:r>
          </w:p>
        </w:tc>
        <w:tc>
          <w:tcPr>
            <w:tcW w:w="10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663</w:t>
            </w:r>
          </w:p>
        </w:tc>
        <w:tc>
          <w:tcPr>
            <w:tcW w:w="96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642.3</w:t>
            </w:r>
          </w:p>
        </w:tc>
        <w:tc>
          <w:tcPr>
            <w:tcW w:w="151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412.4</w:t>
            </w:r>
          </w:p>
        </w:tc>
        <w:tc>
          <w:tcPr>
            <w:tcW w:w="1380" w:type="dxa"/>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973.9</w:t>
            </w:r>
          </w:p>
        </w:tc>
      </w:tr>
      <w:tr w:rsidR="00CF4FBE">
        <w:trPr>
          <w:trHeight w:val="500"/>
        </w:trPr>
        <w:tc>
          <w:tcPr>
            <w:tcW w:w="1665" w:type="dxa"/>
            <w:tcBorders>
              <w:top w:val="nil"/>
              <w:left w:val="nil"/>
              <w:bottom w:val="single" w:sz="12" w:space="0" w:color="000000"/>
              <w:right w:val="nil"/>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X92949</w:t>
            </w:r>
          </w:p>
        </w:tc>
        <w:tc>
          <w:tcPr>
            <w:tcW w:w="136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7.331</w:t>
            </w:r>
          </w:p>
        </w:tc>
        <w:tc>
          <w:tcPr>
            <w:tcW w:w="106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69.35</w:t>
            </w:r>
          </w:p>
        </w:tc>
        <w:tc>
          <w:tcPr>
            <w:tcW w:w="96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68.75</w:t>
            </w:r>
          </w:p>
        </w:tc>
        <w:tc>
          <w:tcPr>
            <w:tcW w:w="151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52.5</w:t>
            </w:r>
          </w:p>
        </w:tc>
        <w:tc>
          <w:tcPr>
            <w:tcW w:w="1380" w:type="dxa"/>
            <w:tcBorders>
              <w:bottom w:val="single" w:sz="12" w:space="0" w:color="000000"/>
            </w:tcBorders>
            <w:tcMar>
              <w:top w:w="100" w:type="dxa"/>
              <w:left w:w="100" w:type="dxa"/>
              <w:bottom w:w="100" w:type="dxa"/>
              <w:right w:w="100" w:type="dxa"/>
            </w:tcMar>
          </w:tcPr>
          <w:p w:rsidR="00CF4FBE" w:rsidRDefault="00F16F71">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90.2</w:t>
            </w:r>
          </w:p>
        </w:tc>
      </w:tr>
    </w:tbl>
    <w:p w:rsidR="00CF4FBE" w:rsidRDefault="00CF4FBE">
      <w:pPr>
        <w:rPr>
          <w:rFonts w:ascii="Times New Roman" w:eastAsia="Times New Roman" w:hAnsi="Times New Roman" w:cs="Times New Roman"/>
        </w:rPr>
      </w:pPr>
    </w:p>
    <w:p w:rsidR="00CF4FBE" w:rsidRDefault="00CF4FBE">
      <w:pPr>
        <w:widowControl w:val="0"/>
        <w:pBdr>
          <w:top w:val="nil"/>
          <w:left w:val="nil"/>
          <w:bottom w:val="nil"/>
          <w:right w:val="nil"/>
          <w:between w:val="nil"/>
        </w:pBdr>
        <w:rPr>
          <w:rFonts w:ascii="Times New Roman" w:eastAsia="Times New Roman" w:hAnsi="Times New Roman" w:cs="Times New Roman"/>
        </w:rPr>
      </w:pPr>
    </w:p>
    <w:sectPr w:rsidR="00CF4FBE">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6F71" w:rsidRDefault="00F16F71">
      <w:pPr>
        <w:spacing w:line="240" w:lineRule="auto"/>
      </w:pPr>
      <w:r>
        <w:separator/>
      </w:r>
    </w:p>
  </w:endnote>
  <w:endnote w:type="continuationSeparator" w:id="0">
    <w:p w:rsidR="00F16F71" w:rsidRDefault="00F16F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FBE" w:rsidRDefault="00F16F71">
    <w:pPr>
      <w:jc w:val="right"/>
    </w:pPr>
    <w:r>
      <w:fldChar w:fldCharType="begin"/>
    </w:r>
    <w:r>
      <w:instrText>PAGE</w:instrText>
    </w:r>
    <w:r w:rsidR="00312139">
      <w:fldChar w:fldCharType="separate"/>
    </w:r>
    <w:r w:rsidR="007B7684">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6F71" w:rsidRDefault="00F16F71">
      <w:pPr>
        <w:spacing w:line="240" w:lineRule="auto"/>
      </w:pPr>
      <w:r>
        <w:separator/>
      </w:r>
    </w:p>
  </w:footnote>
  <w:footnote w:type="continuationSeparator" w:id="0">
    <w:p w:rsidR="00F16F71" w:rsidRDefault="00F16F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FBE" w:rsidRDefault="00F16F71">
    <w:r>
      <w:t xml:space="preserve">Candidate Number: </w:t>
    </w:r>
    <w:r>
      <w:rPr>
        <w:color w:val="333333"/>
        <w:sz w:val="21"/>
        <w:szCs w:val="21"/>
        <w:highlight w:val="white"/>
      </w:rPr>
      <w:t>ZVBZ7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141BA9"/>
    <w:multiLevelType w:val="multilevel"/>
    <w:tmpl w:val="CF9AC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FBE"/>
    <w:rsid w:val="00312139"/>
    <w:rsid w:val="007B7684"/>
    <w:rsid w:val="00CF4FBE"/>
    <w:rsid w:val="00F16F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19F02"/>
  <w15:docId w15:val="{4B783E6F-6B88-4DAF-8A56-32133270D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paperpile.com/c/cawOJX/1TQZ" TargetMode="External"/><Relationship Id="rId39" Type="http://schemas.openxmlformats.org/officeDocument/2006/relationships/hyperlink" Target="http://paperpile.com/b/cawOJX/8Fu1" TargetMode="External"/><Relationship Id="rId21" Type="http://schemas.openxmlformats.org/officeDocument/2006/relationships/hyperlink" Target="https://paperpile.com/c/cawOJX/yBFw" TargetMode="External"/><Relationship Id="rId34" Type="http://schemas.openxmlformats.org/officeDocument/2006/relationships/hyperlink" Target="http://paperpile.com/b/cawOJX/XJvG" TargetMode="External"/><Relationship Id="rId42" Type="http://schemas.openxmlformats.org/officeDocument/2006/relationships/hyperlink" Target="http://paperpile.com/b/cawOJX/yBFw" TargetMode="External"/><Relationship Id="rId47" Type="http://schemas.openxmlformats.org/officeDocument/2006/relationships/hyperlink" Target="http://paperpile.com/b/cawOJX/dChA" TargetMode="External"/><Relationship Id="rId50" Type="http://schemas.openxmlformats.org/officeDocument/2006/relationships/hyperlink" Target="http://paperpile.com/b/cawOJX/aiOu" TargetMode="External"/><Relationship Id="rId55" Type="http://schemas.openxmlformats.org/officeDocument/2006/relationships/hyperlink" Target="http://dx.doi.org/10.18637/jss.v045.i02" TargetMode="External"/><Relationship Id="rId7" Type="http://schemas.openxmlformats.org/officeDocument/2006/relationships/hyperlink" Target="https://paperpile.com/c/cawOJX/SBmy"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paperpile.com/b/cawOJX/XJvG" TargetMode="External"/><Relationship Id="rId38" Type="http://schemas.openxmlformats.org/officeDocument/2006/relationships/hyperlink" Target="http://paperpile.com/b/cawOJX/8Fu1" TargetMode="External"/><Relationship Id="rId46" Type="http://schemas.openxmlformats.org/officeDocument/2006/relationships/hyperlink" Target="http://paperpile.com/b/cawOJX/dChA"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paperpile.com/c/cawOJX/dJ0R+8Fu1" TargetMode="External"/><Relationship Id="rId29" Type="http://schemas.openxmlformats.org/officeDocument/2006/relationships/hyperlink" Target="http://paperpile.com/b/cawOJX/1TQZ" TargetMode="External"/><Relationship Id="rId41" Type="http://schemas.openxmlformats.org/officeDocument/2006/relationships/hyperlink" Target="http://paperpile.com/b/cawOJX/Kk35" TargetMode="External"/><Relationship Id="rId54" Type="http://schemas.openxmlformats.org/officeDocument/2006/relationships/hyperlink" Target="http://paperpile.com/b/cawOJX/3wk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pile.com/c/cawOJX/3wku" TargetMode="External"/><Relationship Id="rId24" Type="http://schemas.openxmlformats.org/officeDocument/2006/relationships/image" Target="media/image9.png"/><Relationship Id="rId32" Type="http://schemas.openxmlformats.org/officeDocument/2006/relationships/hyperlink" Target="http://paperpile.com/b/cawOJX/dJ0R" TargetMode="External"/><Relationship Id="rId37" Type="http://schemas.openxmlformats.org/officeDocument/2006/relationships/hyperlink" Target="https://www.gov.uk/government/publications/chief-medical-officer-annual-report-2018-better-health-within-reach" TargetMode="External"/><Relationship Id="rId40" Type="http://schemas.openxmlformats.org/officeDocument/2006/relationships/hyperlink" Target="http://paperpile.com/b/cawOJX/8Fu1" TargetMode="External"/><Relationship Id="rId45" Type="http://schemas.openxmlformats.org/officeDocument/2006/relationships/hyperlink" Target="http://paperpile.com/b/cawOJX/dChA" TargetMode="External"/><Relationship Id="rId53" Type="http://schemas.openxmlformats.org/officeDocument/2006/relationships/hyperlink" Target="http://paperpile.com/b/cawOJX/3wku"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paperpile.com/b/cawOJX/1TQZ" TargetMode="External"/><Relationship Id="rId36" Type="http://schemas.openxmlformats.org/officeDocument/2006/relationships/hyperlink" Target="http://paperpile.com/b/cawOJX/SBmy" TargetMode="External"/><Relationship Id="rId49" Type="http://schemas.openxmlformats.org/officeDocument/2006/relationships/hyperlink" Target="http://paperpile.com/b/cawOJX/aiOu" TargetMode="External"/><Relationship Id="rId57" Type="http://schemas.openxmlformats.org/officeDocument/2006/relationships/header" Target="header1.xml"/><Relationship Id="rId10" Type="http://schemas.openxmlformats.org/officeDocument/2006/relationships/hyperlink" Target="https://paperpile.com/c/cawOJX/gNwS" TargetMode="External"/><Relationship Id="rId19" Type="http://schemas.openxmlformats.org/officeDocument/2006/relationships/hyperlink" Target="https://paperpile.com/c/cawOJX/Kk35" TargetMode="External"/><Relationship Id="rId31" Type="http://schemas.openxmlformats.org/officeDocument/2006/relationships/hyperlink" Target="http://paperpile.com/b/cawOJX/dJ0R" TargetMode="External"/><Relationship Id="rId44" Type="http://schemas.openxmlformats.org/officeDocument/2006/relationships/hyperlink" Target="http://paperpile.com/b/cawOJX/yBFw" TargetMode="External"/><Relationship Id="rId52" Type="http://schemas.openxmlformats.org/officeDocument/2006/relationships/hyperlink" Target="http://paperpile.com/b/cawOJX/3wku"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aperpile.com/c/cawOJX/dChA" TargetMode="External"/><Relationship Id="rId14" Type="http://schemas.openxmlformats.org/officeDocument/2006/relationships/image" Target="media/image3.png"/><Relationship Id="rId22" Type="http://schemas.openxmlformats.org/officeDocument/2006/relationships/hyperlink" Target="https://paperpile.com/c/cawOJX/aiOu" TargetMode="External"/><Relationship Id="rId27" Type="http://schemas.openxmlformats.org/officeDocument/2006/relationships/hyperlink" Target="http://paperpile.com/b/cawOJX/1TQZ" TargetMode="External"/><Relationship Id="rId30" Type="http://schemas.openxmlformats.org/officeDocument/2006/relationships/hyperlink" Target="http://paperpile.com/b/cawOJX/dJ0R" TargetMode="External"/><Relationship Id="rId35" Type="http://schemas.openxmlformats.org/officeDocument/2006/relationships/hyperlink" Target="http://paperpile.com/b/cawOJX/XJvG" TargetMode="External"/><Relationship Id="rId43" Type="http://schemas.openxmlformats.org/officeDocument/2006/relationships/hyperlink" Target="http://paperpile.com/b/cawOJX/yBFw" TargetMode="External"/><Relationship Id="rId48" Type="http://schemas.openxmlformats.org/officeDocument/2006/relationships/hyperlink" Target="http://paperpile.com/b/cawOJX/aiOu" TargetMode="External"/><Relationship Id="rId56" Type="http://schemas.openxmlformats.org/officeDocument/2006/relationships/hyperlink" Target="http://paperpile.com/b/cawOJX/3wku" TargetMode="External"/><Relationship Id="rId8" Type="http://schemas.openxmlformats.org/officeDocument/2006/relationships/hyperlink" Target="https://paperpile.com/c/cawOJX/XJvG" TargetMode="External"/><Relationship Id="rId51" Type="http://schemas.openxmlformats.org/officeDocument/2006/relationships/hyperlink" Target="http://paperpile.com/b/cawOJX/gNw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6049</Words>
  <Characters>34483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 Plunkett</dc:creator>
  <cp:lastModifiedBy>Russell Plunkett</cp:lastModifiedBy>
  <cp:revision>2</cp:revision>
  <dcterms:created xsi:type="dcterms:W3CDTF">2019-04-26T22:35:00Z</dcterms:created>
  <dcterms:modified xsi:type="dcterms:W3CDTF">2019-04-26T22:35:00Z</dcterms:modified>
</cp:coreProperties>
</file>